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FB" w:rsidRPr="00496DE3" w:rsidRDefault="00D756B5" w:rsidP="00CD57F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96DE3">
        <w:rPr>
          <w:rFonts w:ascii="Arial" w:hAnsi="Arial" w:cs="Arial"/>
          <w:b/>
          <w:sz w:val="20"/>
          <w:szCs w:val="20"/>
        </w:rPr>
        <w:t xml:space="preserve">1. Juli 1998 bis 31. Dezember 2007: Unterhalt nach </w:t>
      </w:r>
      <w:r w:rsidR="00CD57FB" w:rsidRPr="00496DE3">
        <w:rPr>
          <w:rFonts w:ascii="Arial" w:hAnsi="Arial" w:cs="Arial"/>
          <w:b/>
          <w:sz w:val="20"/>
          <w:szCs w:val="20"/>
        </w:rPr>
        <w:t>Regelbeträge</w:t>
      </w:r>
      <w:r w:rsidRPr="00496DE3">
        <w:rPr>
          <w:rFonts w:ascii="Arial" w:hAnsi="Arial" w:cs="Arial"/>
          <w:b/>
          <w:sz w:val="20"/>
          <w:szCs w:val="20"/>
        </w:rPr>
        <w:t>n</w:t>
      </w:r>
    </w:p>
    <w:p w:rsidR="00CD57FB" w:rsidRPr="00496DE3" w:rsidRDefault="00CD57FB" w:rsidP="00CD57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6DE3">
        <w:rPr>
          <w:rFonts w:ascii="Arial" w:hAnsi="Arial" w:cs="Arial"/>
          <w:sz w:val="20"/>
          <w:szCs w:val="20"/>
        </w:rPr>
        <w:t>Rechtsgrundlagen:</w:t>
      </w:r>
    </w:p>
    <w:p w:rsidR="00CD57FB" w:rsidRPr="00496DE3" w:rsidRDefault="00CD57FB" w:rsidP="002A3CBF">
      <w:pPr>
        <w:pStyle w:val="Listenabsatz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6DE3">
        <w:rPr>
          <w:rFonts w:ascii="Arial" w:hAnsi="Arial" w:cs="Arial"/>
          <w:sz w:val="20"/>
          <w:szCs w:val="20"/>
        </w:rPr>
        <w:t>§§ 1612a, 1612b des Bürgerlichen Gesetzbuchs</w:t>
      </w:r>
    </w:p>
    <w:p w:rsidR="00CD57FB" w:rsidRPr="00496DE3" w:rsidRDefault="00CD57FB" w:rsidP="002A3CBF">
      <w:pPr>
        <w:pStyle w:val="Listenabsatz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6DE3">
        <w:rPr>
          <w:rFonts w:ascii="Arial" w:hAnsi="Arial" w:cs="Arial"/>
          <w:sz w:val="20"/>
          <w:szCs w:val="20"/>
        </w:rPr>
        <w:t>§§ 1, 2 der Regelbetrag-Verordnung</w:t>
      </w:r>
    </w:p>
    <w:p w:rsidR="00CD57FB" w:rsidRPr="00496DE3" w:rsidRDefault="00CD57FB" w:rsidP="00CD57FB">
      <w:pPr>
        <w:pStyle w:val="Listenabsatz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6DE3">
        <w:rPr>
          <w:rFonts w:ascii="Arial" w:hAnsi="Arial" w:cs="Arial"/>
          <w:sz w:val="20"/>
          <w:szCs w:val="20"/>
        </w:rPr>
        <w:t>§ 66 Abs. 1 des Einkommensteuergesetzes</w:t>
      </w:r>
    </w:p>
    <w:p w:rsidR="00BE643E" w:rsidRPr="00496DE3" w:rsidRDefault="00BE643E" w:rsidP="00BE64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1471"/>
        <w:gridCol w:w="1471"/>
        <w:gridCol w:w="1471"/>
        <w:gridCol w:w="1471"/>
        <w:gridCol w:w="1471"/>
        <w:gridCol w:w="1471"/>
        <w:gridCol w:w="1471"/>
        <w:gridCol w:w="1471"/>
        <w:gridCol w:w="1471"/>
        <w:gridCol w:w="1471"/>
      </w:tblGrid>
      <w:tr w:rsidR="00314368" w:rsidRPr="00496DE3" w:rsidTr="00375008">
        <w:tc>
          <w:tcPr>
            <w:tcW w:w="1471" w:type="dxa"/>
          </w:tcPr>
          <w:p w:rsidR="00314368" w:rsidRPr="00496DE3" w:rsidRDefault="00314368" w:rsidP="00CD57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:rsidR="00314368" w:rsidRPr="00496DE3" w:rsidRDefault="00314368" w:rsidP="00CD57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Regelbetrag (West) erste Altersstufe (0–5 Jahre)</w:t>
            </w:r>
          </w:p>
        </w:tc>
        <w:tc>
          <w:tcPr>
            <w:tcW w:w="1471" w:type="dxa"/>
          </w:tcPr>
          <w:p w:rsidR="00314368" w:rsidRPr="00496DE3" w:rsidRDefault="00314368" w:rsidP="00CD57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Regelbetrag (West) zweite Altersstufe (6–11 Jahre)</w:t>
            </w:r>
          </w:p>
        </w:tc>
        <w:tc>
          <w:tcPr>
            <w:tcW w:w="1471" w:type="dxa"/>
          </w:tcPr>
          <w:p w:rsidR="00314368" w:rsidRPr="00496DE3" w:rsidRDefault="00314368" w:rsidP="00CD57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Regelbetrag (West) dritte Altersstufe (12–17 Jahre)</w:t>
            </w:r>
          </w:p>
        </w:tc>
        <w:tc>
          <w:tcPr>
            <w:tcW w:w="1471" w:type="dxa"/>
          </w:tcPr>
          <w:p w:rsidR="00314368" w:rsidRPr="00496DE3" w:rsidRDefault="000B71FA" w:rsidP="00CD57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Regelbetrag (Ost) erste Altersstufe (0–5 Jahre)</w:t>
            </w:r>
          </w:p>
        </w:tc>
        <w:tc>
          <w:tcPr>
            <w:tcW w:w="1471" w:type="dxa"/>
          </w:tcPr>
          <w:p w:rsidR="00314368" w:rsidRPr="00496DE3" w:rsidRDefault="000B71FA" w:rsidP="00CD57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Regelbetrag (Ost) zweite Altersstufe (6–11 Jahre)</w:t>
            </w:r>
          </w:p>
        </w:tc>
        <w:tc>
          <w:tcPr>
            <w:tcW w:w="1471" w:type="dxa"/>
          </w:tcPr>
          <w:p w:rsidR="00314368" w:rsidRPr="00496DE3" w:rsidRDefault="000B71FA" w:rsidP="00CD57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Regelbetrag (Ost) dritte Altersstufe (12–17 Jahre)</w:t>
            </w:r>
          </w:p>
        </w:tc>
        <w:tc>
          <w:tcPr>
            <w:tcW w:w="1471" w:type="dxa"/>
          </w:tcPr>
          <w:p w:rsidR="00314368" w:rsidRPr="00496DE3" w:rsidRDefault="00527380" w:rsidP="00CD57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Kindergeld erstes und zweites Kind</w:t>
            </w:r>
          </w:p>
        </w:tc>
        <w:tc>
          <w:tcPr>
            <w:tcW w:w="1471" w:type="dxa"/>
          </w:tcPr>
          <w:p w:rsidR="00314368" w:rsidRPr="00496DE3" w:rsidRDefault="00527380" w:rsidP="00CD57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Kindergeld drittes Kind</w:t>
            </w:r>
          </w:p>
        </w:tc>
        <w:tc>
          <w:tcPr>
            <w:tcW w:w="1471" w:type="dxa"/>
          </w:tcPr>
          <w:p w:rsidR="00314368" w:rsidRPr="00496DE3" w:rsidRDefault="00527380" w:rsidP="00CD57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Kindergeld viertes Kind und weitere Kinder</w:t>
            </w:r>
          </w:p>
        </w:tc>
      </w:tr>
      <w:tr w:rsidR="00647875" w:rsidRPr="00496DE3" w:rsidTr="00375008">
        <w:tc>
          <w:tcPr>
            <w:tcW w:w="1471" w:type="dxa"/>
          </w:tcPr>
          <w:p w:rsidR="00647875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1.7.1998–31.12.1998</w:t>
            </w:r>
          </w:p>
        </w:tc>
        <w:tc>
          <w:tcPr>
            <w:tcW w:w="1471" w:type="dxa"/>
          </w:tcPr>
          <w:p w:rsidR="00647875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349 DM</w:t>
            </w:r>
          </w:p>
        </w:tc>
        <w:tc>
          <w:tcPr>
            <w:tcW w:w="1471" w:type="dxa"/>
          </w:tcPr>
          <w:p w:rsidR="00647875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424 DM</w:t>
            </w:r>
          </w:p>
        </w:tc>
        <w:tc>
          <w:tcPr>
            <w:tcW w:w="1471" w:type="dxa"/>
          </w:tcPr>
          <w:p w:rsidR="00647875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502 DM</w:t>
            </w:r>
          </w:p>
        </w:tc>
        <w:tc>
          <w:tcPr>
            <w:tcW w:w="1471" w:type="dxa"/>
          </w:tcPr>
          <w:p w:rsidR="00647875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314 DM</w:t>
            </w:r>
          </w:p>
        </w:tc>
        <w:tc>
          <w:tcPr>
            <w:tcW w:w="1471" w:type="dxa"/>
          </w:tcPr>
          <w:p w:rsidR="00647875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380 DM</w:t>
            </w:r>
          </w:p>
        </w:tc>
        <w:tc>
          <w:tcPr>
            <w:tcW w:w="1471" w:type="dxa"/>
          </w:tcPr>
          <w:p w:rsidR="00647875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451 DM</w:t>
            </w:r>
          </w:p>
        </w:tc>
        <w:tc>
          <w:tcPr>
            <w:tcW w:w="1471" w:type="dxa"/>
          </w:tcPr>
          <w:p w:rsidR="00647875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220 DM</w:t>
            </w:r>
          </w:p>
        </w:tc>
        <w:tc>
          <w:tcPr>
            <w:tcW w:w="1471" w:type="dxa"/>
          </w:tcPr>
          <w:p w:rsidR="00647875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300 DM</w:t>
            </w:r>
          </w:p>
        </w:tc>
        <w:tc>
          <w:tcPr>
            <w:tcW w:w="1471" w:type="dxa"/>
          </w:tcPr>
          <w:p w:rsidR="00647875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350 DM</w:t>
            </w:r>
          </w:p>
        </w:tc>
      </w:tr>
      <w:tr w:rsidR="00314368" w:rsidRPr="00496DE3" w:rsidTr="00375008">
        <w:tc>
          <w:tcPr>
            <w:tcW w:w="1471" w:type="dxa"/>
          </w:tcPr>
          <w:p w:rsidR="00314368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1.1.1999</w:t>
            </w:r>
            <w:r w:rsidR="00314368" w:rsidRPr="00496DE3">
              <w:rPr>
                <w:rFonts w:ascii="Arial" w:hAnsi="Arial" w:cs="Arial"/>
                <w:sz w:val="20"/>
                <w:szCs w:val="20"/>
              </w:rPr>
              <w:t>–</w:t>
            </w:r>
            <w:r w:rsidR="000B71FA" w:rsidRPr="00496DE3">
              <w:rPr>
                <w:rFonts w:ascii="Arial" w:hAnsi="Arial" w:cs="Arial"/>
                <w:sz w:val="20"/>
                <w:szCs w:val="20"/>
              </w:rPr>
              <w:t>30.6.1999</w:t>
            </w:r>
          </w:p>
        </w:tc>
        <w:tc>
          <w:tcPr>
            <w:tcW w:w="1471" w:type="dxa"/>
          </w:tcPr>
          <w:p w:rsidR="00314368" w:rsidRPr="00496DE3" w:rsidRDefault="000B71FA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34</w:t>
            </w:r>
            <w:r w:rsidR="00314368" w:rsidRPr="00496DE3">
              <w:rPr>
                <w:rFonts w:ascii="Arial" w:hAnsi="Arial" w:cs="Arial"/>
                <w:sz w:val="20"/>
                <w:szCs w:val="20"/>
              </w:rPr>
              <w:t>9</w:t>
            </w:r>
            <w:r w:rsidRPr="00496DE3">
              <w:rPr>
                <w:rFonts w:ascii="Arial" w:hAnsi="Arial" w:cs="Arial"/>
                <w:sz w:val="20"/>
                <w:szCs w:val="20"/>
              </w:rPr>
              <w:t xml:space="preserve"> DM</w:t>
            </w:r>
          </w:p>
        </w:tc>
        <w:tc>
          <w:tcPr>
            <w:tcW w:w="1471" w:type="dxa"/>
          </w:tcPr>
          <w:p w:rsidR="00314368" w:rsidRPr="00496DE3" w:rsidRDefault="00314368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424</w:t>
            </w:r>
            <w:r w:rsidR="000B71FA" w:rsidRPr="00496DE3">
              <w:rPr>
                <w:rFonts w:ascii="Arial" w:hAnsi="Arial" w:cs="Arial"/>
                <w:sz w:val="20"/>
                <w:szCs w:val="20"/>
              </w:rPr>
              <w:t xml:space="preserve"> DM</w:t>
            </w:r>
          </w:p>
        </w:tc>
        <w:tc>
          <w:tcPr>
            <w:tcW w:w="1471" w:type="dxa"/>
          </w:tcPr>
          <w:p w:rsidR="00314368" w:rsidRPr="00496DE3" w:rsidRDefault="00314368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502</w:t>
            </w:r>
            <w:r w:rsidR="000B71FA" w:rsidRPr="00496DE3">
              <w:rPr>
                <w:rFonts w:ascii="Arial" w:hAnsi="Arial" w:cs="Arial"/>
                <w:sz w:val="20"/>
                <w:szCs w:val="20"/>
              </w:rPr>
              <w:t xml:space="preserve"> DM</w:t>
            </w:r>
          </w:p>
        </w:tc>
        <w:tc>
          <w:tcPr>
            <w:tcW w:w="1471" w:type="dxa"/>
          </w:tcPr>
          <w:p w:rsidR="00314368" w:rsidRPr="00496DE3" w:rsidRDefault="00EC6F41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314 DM</w:t>
            </w:r>
          </w:p>
        </w:tc>
        <w:tc>
          <w:tcPr>
            <w:tcW w:w="1471" w:type="dxa"/>
          </w:tcPr>
          <w:p w:rsidR="00314368" w:rsidRPr="00496DE3" w:rsidRDefault="00EC6F41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380 DM</w:t>
            </w:r>
          </w:p>
        </w:tc>
        <w:tc>
          <w:tcPr>
            <w:tcW w:w="1471" w:type="dxa"/>
          </w:tcPr>
          <w:p w:rsidR="00314368" w:rsidRPr="00496DE3" w:rsidRDefault="00EC6F41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451 DM</w:t>
            </w:r>
          </w:p>
        </w:tc>
        <w:tc>
          <w:tcPr>
            <w:tcW w:w="1471" w:type="dxa"/>
          </w:tcPr>
          <w:p w:rsidR="00314368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250 DM</w:t>
            </w:r>
          </w:p>
        </w:tc>
        <w:tc>
          <w:tcPr>
            <w:tcW w:w="1471" w:type="dxa"/>
          </w:tcPr>
          <w:p w:rsidR="00314368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300 DM</w:t>
            </w:r>
          </w:p>
        </w:tc>
        <w:tc>
          <w:tcPr>
            <w:tcW w:w="1471" w:type="dxa"/>
          </w:tcPr>
          <w:p w:rsidR="00314368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350 DM</w:t>
            </w:r>
          </w:p>
        </w:tc>
      </w:tr>
      <w:tr w:rsidR="00647875" w:rsidRPr="00496DE3" w:rsidTr="00375008">
        <w:tc>
          <w:tcPr>
            <w:tcW w:w="1471" w:type="dxa"/>
          </w:tcPr>
          <w:p w:rsidR="00647875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1.7.1999–31.12.1999</w:t>
            </w:r>
          </w:p>
        </w:tc>
        <w:tc>
          <w:tcPr>
            <w:tcW w:w="1471" w:type="dxa"/>
          </w:tcPr>
          <w:p w:rsidR="00647875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355 DM</w:t>
            </w:r>
          </w:p>
        </w:tc>
        <w:tc>
          <w:tcPr>
            <w:tcW w:w="1471" w:type="dxa"/>
          </w:tcPr>
          <w:p w:rsidR="00647875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431 DM</w:t>
            </w:r>
          </w:p>
        </w:tc>
        <w:tc>
          <w:tcPr>
            <w:tcW w:w="1471" w:type="dxa"/>
          </w:tcPr>
          <w:p w:rsidR="00647875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510 DM</w:t>
            </w:r>
          </w:p>
        </w:tc>
        <w:tc>
          <w:tcPr>
            <w:tcW w:w="1471" w:type="dxa"/>
          </w:tcPr>
          <w:p w:rsidR="00647875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324 DM</w:t>
            </w:r>
          </w:p>
        </w:tc>
        <w:tc>
          <w:tcPr>
            <w:tcW w:w="1471" w:type="dxa"/>
          </w:tcPr>
          <w:p w:rsidR="00647875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392 DM</w:t>
            </w:r>
          </w:p>
        </w:tc>
        <w:tc>
          <w:tcPr>
            <w:tcW w:w="1471" w:type="dxa"/>
          </w:tcPr>
          <w:p w:rsidR="00647875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465 DM</w:t>
            </w:r>
          </w:p>
        </w:tc>
        <w:tc>
          <w:tcPr>
            <w:tcW w:w="1471" w:type="dxa"/>
          </w:tcPr>
          <w:p w:rsidR="00647875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250 DM</w:t>
            </w:r>
          </w:p>
        </w:tc>
        <w:tc>
          <w:tcPr>
            <w:tcW w:w="1471" w:type="dxa"/>
          </w:tcPr>
          <w:p w:rsidR="00647875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300 DM</w:t>
            </w:r>
          </w:p>
        </w:tc>
        <w:tc>
          <w:tcPr>
            <w:tcW w:w="1471" w:type="dxa"/>
          </w:tcPr>
          <w:p w:rsidR="00647875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350 DM</w:t>
            </w:r>
          </w:p>
        </w:tc>
      </w:tr>
      <w:tr w:rsidR="00314368" w:rsidRPr="00496DE3" w:rsidTr="00375008">
        <w:tc>
          <w:tcPr>
            <w:tcW w:w="1471" w:type="dxa"/>
          </w:tcPr>
          <w:p w:rsidR="00314368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1.1.2000</w:t>
            </w:r>
            <w:r w:rsidR="000B71FA" w:rsidRPr="00496DE3">
              <w:rPr>
                <w:rFonts w:ascii="Arial" w:hAnsi="Arial" w:cs="Arial"/>
                <w:sz w:val="20"/>
                <w:szCs w:val="20"/>
              </w:rPr>
              <w:t>–30.6.2001</w:t>
            </w:r>
          </w:p>
        </w:tc>
        <w:tc>
          <w:tcPr>
            <w:tcW w:w="1471" w:type="dxa"/>
          </w:tcPr>
          <w:p w:rsidR="00314368" w:rsidRPr="00496DE3" w:rsidRDefault="000B71FA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355 DM</w:t>
            </w:r>
          </w:p>
        </w:tc>
        <w:tc>
          <w:tcPr>
            <w:tcW w:w="1471" w:type="dxa"/>
          </w:tcPr>
          <w:p w:rsidR="00314368" w:rsidRPr="00496DE3" w:rsidRDefault="000B71FA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431 DM</w:t>
            </w:r>
          </w:p>
        </w:tc>
        <w:tc>
          <w:tcPr>
            <w:tcW w:w="1471" w:type="dxa"/>
          </w:tcPr>
          <w:p w:rsidR="00314368" w:rsidRPr="00496DE3" w:rsidRDefault="000B71FA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510 DM</w:t>
            </w:r>
          </w:p>
        </w:tc>
        <w:tc>
          <w:tcPr>
            <w:tcW w:w="1471" w:type="dxa"/>
          </w:tcPr>
          <w:p w:rsidR="00314368" w:rsidRPr="00496DE3" w:rsidRDefault="00EC6F41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324 DM</w:t>
            </w:r>
          </w:p>
        </w:tc>
        <w:tc>
          <w:tcPr>
            <w:tcW w:w="1471" w:type="dxa"/>
          </w:tcPr>
          <w:p w:rsidR="00314368" w:rsidRPr="00496DE3" w:rsidRDefault="00EC6F41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392 DM</w:t>
            </w:r>
          </w:p>
        </w:tc>
        <w:tc>
          <w:tcPr>
            <w:tcW w:w="1471" w:type="dxa"/>
          </w:tcPr>
          <w:p w:rsidR="00314368" w:rsidRPr="00496DE3" w:rsidRDefault="00EC6F41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465 DM</w:t>
            </w:r>
          </w:p>
        </w:tc>
        <w:tc>
          <w:tcPr>
            <w:tcW w:w="1471" w:type="dxa"/>
          </w:tcPr>
          <w:p w:rsidR="00314368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270 DM</w:t>
            </w:r>
          </w:p>
        </w:tc>
        <w:tc>
          <w:tcPr>
            <w:tcW w:w="1471" w:type="dxa"/>
          </w:tcPr>
          <w:p w:rsidR="00314368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300 DM</w:t>
            </w:r>
          </w:p>
        </w:tc>
        <w:tc>
          <w:tcPr>
            <w:tcW w:w="1471" w:type="dxa"/>
          </w:tcPr>
          <w:p w:rsidR="00314368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350 DM</w:t>
            </w:r>
          </w:p>
        </w:tc>
      </w:tr>
      <w:tr w:rsidR="00314368" w:rsidRPr="00496DE3" w:rsidTr="00375008">
        <w:tc>
          <w:tcPr>
            <w:tcW w:w="1471" w:type="dxa"/>
          </w:tcPr>
          <w:p w:rsidR="00314368" w:rsidRPr="00496DE3" w:rsidRDefault="000B71FA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1.7.2001–31.12.2001</w:t>
            </w:r>
          </w:p>
        </w:tc>
        <w:tc>
          <w:tcPr>
            <w:tcW w:w="1471" w:type="dxa"/>
          </w:tcPr>
          <w:p w:rsidR="00314368" w:rsidRPr="00496DE3" w:rsidRDefault="000B71FA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366 DM</w:t>
            </w:r>
          </w:p>
        </w:tc>
        <w:tc>
          <w:tcPr>
            <w:tcW w:w="1471" w:type="dxa"/>
          </w:tcPr>
          <w:p w:rsidR="00314368" w:rsidRPr="00496DE3" w:rsidRDefault="000B71FA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444 DM</w:t>
            </w:r>
          </w:p>
        </w:tc>
        <w:tc>
          <w:tcPr>
            <w:tcW w:w="1471" w:type="dxa"/>
          </w:tcPr>
          <w:p w:rsidR="00314368" w:rsidRPr="00496DE3" w:rsidRDefault="000B71FA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525 DM</w:t>
            </w:r>
          </w:p>
        </w:tc>
        <w:tc>
          <w:tcPr>
            <w:tcW w:w="1471" w:type="dxa"/>
          </w:tcPr>
          <w:p w:rsidR="00314368" w:rsidRPr="00496DE3" w:rsidRDefault="00EC6F41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340 DM</w:t>
            </w:r>
          </w:p>
        </w:tc>
        <w:tc>
          <w:tcPr>
            <w:tcW w:w="1471" w:type="dxa"/>
          </w:tcPr>
          <w:p w:rsidR="00314368" w:rsidRPr="00496DE3" w:rsidRDefault="00EC6F41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411 DM</w:t>
            </w:r>
          </w:p>
        </w:tc>
        <w:tc>
          <w:tcPr>
            <w:tcW w:w="1471" w:type="dxa"/>
          </w:tcPr>
          <w:p w:rsidR="00314368" w:rsidRPr="00496DE3" w:rsidRDefault="00EC6F41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487 DM</w:t>
            </w:r>
          </w:p>
        </w:tc>
        <w:tc>
          <w:tcPr>
            <w:tcW w:w="1471" w:type="dxa"/>
          </w:tcPr>
          <w:p w:rsidR="00314368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270 DM</w:t>
            </w:r>
          </w:p>
        </w:tc>
        <w:tc>
          <w:tcPr>
            <w:tcW w:w="1471" w:type="dxa"/>
          </w:tcPr>
          <w:p w:rsidR="00314368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300 DM</w:t>
            </w:r>
          </w:p>
        </w:tc>
        <w:tc>
          <w:tcPr>
            <w:tcW w:w="1471" w:type="dxa"/>
          </w:tcPr>
          <w:p w:rsidR="00314368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350 DM</w:t>
            </w:r>
          </w:p>
        </w:tc>
      </w:tr>
      <w:tr w:rsidR="00314368" w:rsidRPr="00496DE3" w:rsidTr="00375008">
        <w:tc>
          <w:tcPr>
            <w:tcW w:w="1471" w:type="dxa"/>
          </w:tcPr>
          <w:p w:rsidR="000B71FA" w:rsidRPr="00496DE3" w:rsidRDefault="000B71FA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1.1.2002–30.6.2003</w:t>
            </w:r>
          </w:p>
        </w:tc>
        <w:tc>
          <w:tcPr>
            <w:tcW w:w="1471" w:type="dxa"/>
          </w:tcPr>
          <w:p w:rsidR="00314368" w:rsidRPr="00496DE3" w:rsidRDefault="000B71FA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188 €</w:t>
            </w:r>
          </w:p>
        </w:tc>
        <w:tc>
          <w:tcPr>
            <w:tcW w:w="1471" w:type="dxa"/>
          </w:tcPr>
          <w:p w:rsidR="00314368" w:rsidRPr="00496DE3" w:rsidRDefault="000B71FA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228 €</w:t>
            </w:r>
          </w:p>
        </w:tc>
        <w:tc>
          <w:tcPr>
            <w:tcW w:w="1471" w:type="dxa"/>
          </w:tcPr>
          <w:p w:rsidR="00314368" w:rsidRPr="00496DE3" w:rsidRDefault="000B71FA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269 €</w:t>
            </w:r>
          </w:p>
        </w:tc>
        <w:tc>
          <w:tcPr>
            <w:tcW w:w="1471" w:type="dxa"/>
          </w:tcPr>
          <w:p w:rsidR="00314368" w:rsidRPr="00496DE3" w:rsidRDefault="00EC6F41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174 €</w:t>
            </w:r>
          </w:p>
        </w:tc>
        <w:tc>
          <w:tcPr>
            <w:tcW w:w="1471" w:type="dxa"/>
          </w:tcPr>
          <w:p w:rsidR="00314368" w:rsidRPr="00496DE3" w:rsidRDefault="00EC6F41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211 €</w:t>
            </w:r>
          </w:p>
        </w:tc>
        <w:tc>
          <w:tcPr>
            <w:tcW w:w="1471" w:type="dxa"/>
          </w:tcPr>
          <w:p w:rsidR="00314368" w:rsidRPr="00496DE3" w:rsidRDefault="00EC6F41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249 €</w:t>
            </w:r>
          </w:p>
        </w:tc>
        <w:tc>
          <w:tcPr>
            <w:tcW w:w="1471" w:type="dxa"/>
          </w:tcPr>
          <w:p w:rsidR="00314368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154 €</w:t>
            </w:r>
          </w:p>
        </w:tc>
        <w:tc>
          <w:tcPr>
            <w:tcW w:w="1471" w:type="dxa"/>
          </w:tcPr>
          <w:p w:rsidR="00314368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154 €</w:t>
            </w:r>
          </w:p>
        </w:tc>
        <w:tc>
          <w:tcPr>
            <w:tcW w:w="1471" w:type="dxa"/>
          </w:tcPr>
          <w:p w:rsidR="00314368" w:rsidRPr="00496DE3" w:rsidRDefault="00647875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179 €</w:t>
            </w:r>
          </w:p>
        </w:tc>
      </w:tr>
      <w:tr w:rsidR="00314368" w:rsidRPr="00496DE3" w:rsidTr="00375008">
        <w:tc>
          <w:tcPr>
            <w:tcW w:w="1471" w:type="dxa"/>
          </w:tcPr>
          <w:p w:rsidR="00314368" w:rsidRPr="00496DE3" w:rsidRDefault="000B71FA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1.7.2003–30.6.2005</w:t>
            </w:r>
          </w:p>
        </w:tc>
        <w:tc>
          <w:tcPr>
            <w:tcW w:w="1471" w:type="dxa"/>
          </w:tcPr>
          <w:p w:rsidR="00314368" w:rsidRPr="00496DE3" w:rsidRDefault="000B71FA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199 €</w:t>
            </w:r>
          </w:p>
        </w:tc>
        <w:tc>
          <w:tcPr>
            <w:tcW w:w="1471" w:type="dxa"/>
          </w:tcPr>
          <w:p w:rsidR="00314368" w:rsidRPr="00496DE3" w:rsidRDefault="000B71FA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241 €</w:t>
            </w:r>
          </w:p>
        </w:tc>
        <w:tc>
          <w:tcPr>
            <w:tcW w:w="1471" w:type="dxa"/>
          </w:tcPr>
          <w:p w:rsidR="00314368" w:rsidRPr="00496DE3" w:rsidRDefault="000B71FA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284 €</w:t>
            </w:r>
          </w:p>
        </w:tc>
        <w:tc>
          <w:tcPr>
            <w:tcW w:w="1471" w:type="dxa"/>
          </w:tcPr>
          <w:p w:rsidR="00314368" w:rsidRPr="00496DE3" w:rsidRDefault="00EC6F41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183 €</w:t>
            </w:r>
          </w:p>
        </w:tc>
        <w:tc>
          <w:tcPr>
            <w:tcW w:w="1471" w:type="dxa"/>
          </w:tcPr>
          <w:p w:rsidR="00314368" w:rsidRPr="00496DE3" w:rsidRDefault="00EC6F41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222 €</w:t>
            </w:r>
          </w:p>
        </w:tc>
        <w:tc>
          <w:tcPr>
            <w:tcW w:w="1471" w:type="dxa"/>
          </w:tcPr>
          <w:p w:rsidR="00314368" w:rsidRPr="00496DE3" w:rsidRDefault="00EC6F41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262 €</w:t>
            </w:r>
          </w:p>
        </w:tc>
        <w:tc>
          <w:tcPr>
            <w:tcW w:w="1471" w:type="dxa"/>
          </w:tcPr>
          <w:p w:rsidR="00314368" w:rsidRPr="00496DE3" w:rsidRDefault="004B6ABC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154 €</w:t>
            </w:r>
          </w:p>
        </w:tc>
        <w:tc>
          <w:tcPr>
            <w:tcW w:w="1471" w:type="dxa"/>
          </w:tcPr>
          <w:p w:rsidR="00314368" w:rsidRPr="00496DE3" w:rsidRDefault="004B6ABC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154 €</w:t>
            </w:r>
          </w:p>
        </w:tc>
        <w:tc>
          <w:tcPr>
            <w:tcW w:w="1471" w:type="dxa"/>
          </w:tcPr>
          <w:p w:rsidR="00314368" w:rsidRPr="00496DE3" w:rsidRDefault="004B6ABC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179 €</w:t>
            </w:r>
          </w:p>
        </w:tc>
      </w:tr>
      <w:tr w:rsidR="00314368" w:rsidRPr="00496DE3" w:rsidTr="00375008">
        <w:tc>
          <w:tcPr>
            <w:tcW w:w="1471" w:type="dxa"/>
          </w:tcPr>
          <w:p w:rsidR="00314368" w:rsidRPr="00496DE3" w:rsidRDefault="000B71FA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1.7.2005–30.6.2007</w:t>
            </w:r>
          </w:p>
        </w:tc>
        <w:tc>
          <w:tcPr>
            <w:tcW w:w="1471" w:type="dxa"/>
          </w:tcPr>
          <w:p w:rsidR="00314368" w:rsidRPr="00496DE3" w:rsidRDefault="000B71FA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204 €</w:t>
            </w:r>
          </w:p>
        </w:tc>
        <w:tc>
          <w:tcPr>
            <w:tcW w:w="1471" w:type="dxa"/>
          </w:tcPr>
          <w:p w:rsidR="00314368" w:rsidRPr="00496DE3" w:rsidRDefault="000B71FA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247 €</w:t>
            </w:r>
          </w:p>
        </w:tc>
        <w:tc>
          <w:tcPr>
            <w:tcW w:w="1471" w:type="dxa"/>
          </w:tcPr>
          <w:p w:rsidR="00314368" w:rsidRPr="00496DE3" w:rsidRDefault="000B71FA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291 €</w:t>
            </w:r>
          </w:p>
        </w:tc>
        <w:tc>
          <w:tcPr>
            <w:tcW w:w="1471" w:type="dxa"/>
          </w:tcPr>
          <w:p w:rsidR="00314368" w:rsidRPr="00496DE3" w:rsidRDefault="00EC6F41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188 €</w:t>
            </w:r>
          </w:p>
        </w:tc>
        <w:tc>
          <w:tcPr>
            <w:tcW w:w="1471" w:type="dxa"/>
          </w:tcPr>
          <w:p w:rsidR="00314368" w:rsidRPr="00496DE3" w:rsidRDefault="00EC6F41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228 €</w:t>
            </w:r>
          </w:p>
        </w:tc>
        <w:tc>
          <w:tcPr>
            <w:tcW w:w="1471" w:type="dxa"/>
          </w:tcPr>
          <w:p w:rsidR="00314368" w:rsidRPr="00496DE3" w:rsidRDefault="00EC6F41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269 €</w:t>
            </w:r>
          </w:p>
        </w:tc>
        <w:tc>
          <w:tcPr>
            <w:tcW w:w="1471" w:type="dxa"/>
          </w:tcPr>
          <w:p w:rsidR="00314368" w:rsidRPr="00496DE3" w:rsidRDefault="004B6ABC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154 €</w:t>
            </w:r>
          </w:p>
        </w:tc>
        <w:tc>
          <w:tcPr>
            <w:tcW w:w="1471" w:type="dxa"/>
          </w:tcPr>
          <w:p w:rsidR="00314368" w:rsidRPr="00496DE3" w:rsidRDefault="004B6ABC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154 €</w:t>
            </w:r>
          </w:p>
        </w:tc>
        <w:tc>
          <w:tcPr>
            <w:tcW w:w="1471" w:type="dxa"/>
          </w:tcPr>
          <w:p w:rsidR="00314368" w:rsidRPr="00496DE3" w:rsidRDefault="004B6ABC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179 €</w:t>
            </w:r>
          </w:p>
        </w:tc>
      </w:tr>
      <w:tr w:rsidR="00314368" w:rsidRPr="00496DE3" w:rsidTr="00375008">
        <w:tc>
          <w:tcPr>
            <w:tcW w:w="1471" w:type="dxa"/>
          </w:tcPr>
          <w:p w:rsidR="00314368" w:rsidRPr="00496DE3" w:rsidRDefault="000B71FA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1.7.2007–31.12.2007</w:t>
            </w:r>
          </w:p>
        </w:tc>
        <w:tc>
          <w:tcPr>
            <w:tcW w:w="1471" w:type="dxa"/>
          </w:tcPr>
          <w:p w:rsidR="00314368" w:rsidRPr="00496DE3" w:rsidRDefault="000B71FA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202 €</w:t>
            </w:r>
          </w:p>
        </w:tc>
        <w:tc>
          <w:tcPr>
            <w:tcW w:w="1471" w:type="dxa"/>
          </w:tcPr>
          <w:p w:rsidR="00314368" w:rsidRPr="00496DE3" w:rsidRDefault="000B71FA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245 €</w:t>
            </w:r>
          </w:p>
        </w:tc>
        <w:tc>
          <w:tcPr>
            <w:tcW w:w="1471" w:type="dxa"/>
          </w:tcPr>
          <w:p w:rsidR="00314368" w:rsidRPr="00496DE3" w:rsidRDefault="000B71FA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288 €</w:t>
            </w:r>
          </w:p>
        </w:tc>
        <w:tc>
          <w:tcPr>
            <w:tcW w:w="1471" w:type="dxa"/>
          </w:tcPr>
          <w:p w:rsidR="00314368" w:rsidRPr="00496DE3" w:rsidRDefault="00EC6F41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186 €</w:t>
            </w:r>
          </w:p>
        </w:tc>
        <w:tc>
          <w:tcPr>
            <w:tcW w:w="1471" w:type="dxa"/>
          </w:tcPr>
          <w:p w:rsidR="00314368" w:rsidRPr="00496DE3" w:rsidRDefault="00EC6F41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226 €</w:t>
            </w:r>
          </w:p>
        </w:tc>
        <w:tc>
          <w:tcPr>
            <w:tcW w:w="1471" w:type="dxa"/>
          </w:tcPr>
          <w:p w:rsidR="00314368" w:rsidRPr="00496DE3" w:rsidRDefault="00EC6F41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267 €</w:t>
            </w:r>
          </w:p>
        </w:tc>
        <w:tc>
          <w:tcPr>
            <w:tcW w:w="1471" w:type="dxa"/>
          </w:tcPr>
          <w:p w:rsidR="00314368" w:rsidRPr="00496DE3" w:rsidRDefault="004B6ABC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154 €</w:t>
            </w:r>
          </w:p>
        </w:tc>
        <w:tc>
          <w:tcPr>
            <w:tcW w:w="1471" w:type="dxa"/>
          </w:tcPr>
          <w:p w:rsidR="00314368" w:rsidRPr="00496DE3" w:rsidRDefault="004B6ABC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154 €</w:t>
            </w:r>
          </w:p>
        </w:tc>
        <w:tc>
          <w:tcPr>
            <w:tcW w:w="1471" w:type="dxa"/>
          </w:tcPr>
          <w:p w:rsidR="00314368" w:rsidRPr="00496DE3" w:rsidRDefault="004B6ABC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179 €</w:t>
            </w:r>
          </w:p>
        </w:tc>
      </w:tr>
    </w:tbl>
    <w:p w:rsidR="00662E1C" w:rsidRDefault="00662E1C" w:rsidP="005E3E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3BA5" w:rsidRDefault="00662E1C" w:rsidP="005E3E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3BA5">
        <w:rPr>
          <w:rFonts w:ascii="Arial" w:hAnsi="Arial" w:cs="Arial"/>
          <w:b/>
          <w:sz w:val="20"/>
          <w:szCs w:val="20"/>
        </w:rPr>
        <w:t>zum 1. Januar 2008</w:t>
      </w:r>
      <w:r w:rsidRPr="00373BA5">
        <w:rPr>
          <w:rFonts w:ascii="Arial" w:hAnsi="Arial" w:cs="Arial"/>
          <w:sz w:val="20"/>
          <w:szCs w:val="20"/>
        </w:rPr>
        <w:t xml:space="preserve">: Überleitung nach § 36 </w:t>
      </w:r>
      <w:r w:rsidR="00AC4D7B" w:rsidRPr="00373BA5">
        <w:rPr>
          <w:rFonts w:ascii="Arial" w:hAnsi="Arial" w:cs="Arial"/>
          <w:sz w:val="20"/>
          <w:szCs w:val="20"/>
        </w:rPr>
        <w:t xml:space="preserve">Nr. 3 </w:t>
      </w:r>
      <w:r w:rsidRPr="00373BA5">
        <w:rPr>
          <w:rFonts w:ascii="Arial" w:hAnsi="Arial" w:cs="Arial"/>
          <w:sz w:val="20"/>
          <w:szCs w:val="20"/>
        </w:rPr>
        <w:t>des Einführungsgesetzes zur Zivilprozessordnung</w:t>
      </w:r>
      <w:r w:rsidR="00373BA5" w:rsidRPr="00373BA5">
        <w:rPr>
          <w:rFonts w:ascii="Arial" w:hAnsi="Arial" w:cs="Arial"/>
          <w:sz w:val="20"/>
          <w:szCs w:val="20"/>
        </w:rPr>
        <w:t>;</w:t>
      </w:r>
      <w:r w:rsidR="00AC63C8">
        <w:rPr>
          <w:rFonts w:ascii="Arial" w:hAnsi="Arial" w:cs="Arial"/>
          <w:sz w:val="20"/>
          <w:szCs w:val="20"/>
        </w:rPr>
        <w:t xml:space="preserve"> </w:t>
      </w:r>
      <w:r w:rsidR="00373BA5" w:rsidRPr="00373BA5">
        <w:rPr>
          <w:rFonts w:ascii="Arial" w:hAnsi="Arial" w:cs="Arial"/>
          <w:sz w:val="20"/>
          <w:szCs w:val="20"/>
        </w:rPr>
        <w:t xml:space="preserve">Berechnung des neuen </w:t>
      </w:r>
      <w:r w:rsidR="00E160CE">
        <w:rPr>
          <w:rFonts w:ascii="Arial" w:hAnsi="Arial" w:cs="Arial"/>
          <w:sz w:val="20"/>
          <w:szCs w:val="20"/>
        </w:rPr>
        <w:t>Unterhaltsbetrages (Regelfall, § 36 Nr. 3 Buchst. a EGZPO)</w:t>
      </w:r>
      <w:r w:rsidR="00373BA5" w:rsidRPr="00373BA5">
        <w:rPr>
          <w:rFonts w:ascii="Arial" w:hAnsi="Arial" w:cs="Arial"/>
          <w:sz w:val="20"/>
          <w:szCs w:val="20"/>
        </w:rPr>
        <w:t>: bishe</w:t>
      </w:r>
      <w:r w:rsidR="00373BA5">
        <w:rPr>
          <w:rFonts w:ascii="Arial" w:hAnsi="Arial" w:cs="Arial"/>
          <w:sz w:val="20"/>
          <w:szCs w:val="20"/>
        </w:rPr>
        <w:t>r zu zahlender Unterhaltsbetrag</w:t>
      </w:r>
      <w:r w:rsidR="00E160CE">
        <w:rPr>
          <w:rFonts w:ascii="Arial" w:hAnsi="Arial" w:cs="Arial"/>
          <w:sz w:val="20"/>
          <w:szCs w:val="20"/>
        </w:rPr>
        <w:t xml:space="preserve"> </w:t>
      </w:r>
      <w:r w:rsidR="00373BA5">
        <w:rPr>
          <w:rFonts w:ascii="Arial" w:hAnsi="Arial" w:cs="Arial"/>
          <w:sz w:val="20"/>
          <w:szCs w:val="20"/>
        </w:rPr>
        <w:t>zuzüglich de</w:t>
      </w:r>
      <w:r w:rsidR="00373BA5" w:rsidRPr="00373BA5">
        <w:rPr>
          <w:rFonts w:ascii="Arial" w:hAnsi="Arial" w:cs="Arial"/>
          <w:sz w:val="20"/>
          <w:szCs w:val="20"/>
        </w:rPr>
        <w:t>s hälftige</w:t>
      </w:r>
      <w:r w:rsidR="00373BA5">
        <w:rPr>
          <w:rFonts w:ascii="Arial" w:hAnsi="Arial" w:cs="Arial"/>
          <w:sz w:val="20"/>
          <w:szCs w:val="20"/>
        </w:rPr>
        <w:t>n</w:t>
      </w:r>
      <w:r w:rsidR="00373BA5" w:rsidRPr="00373BA5">
        <w:rPr>
          <w:rFonts w:ascii="Arial" w:hAnsi="Arial" w:cs="Arial"/>
          <w:sz w:val="20"/>
          <w:szCs w:val="20"/>
        </w:rPr>
        <w:t xml:space="preserve"> Kindergeld</w:t>
      </w:r>
      <w:r w:rsidR="00373BA5">
        <w:rPr>
          <w:rFonts w:ascii="Arial" w:hAnsi="Arial" w:cs="Arial"/>
          <w:sz w:val="20"/>
          <w:szCs w:val="20"/>
        </w:rPr>
        <w:t>es</w:t>
      </w:r>
      <w:r w:rsidR="00373BA5" w:rsidRPr="00373BA5">
        <w:rPr>
          <w:rFonts w:ascii="Arial" w:hAnsi="Arial" w:cs="Arial"/>
          <w:sz w:val="20"/>
          <w:szCs w:val="20"/>
        </w:rPr>
        <w:t xml:space="preserve"> im Verhältnis zu dem </w:t>
      </w:r>
      <w:r w:rsidR="00373BA5">
        <w:rPr>
          <w:rFonts w:ascii="Arial" w:hAnsi="Arial" w:cs="Arial"/>
          <w:sz w:val="20"/>
          <w:szCs w:val="20"/>
        </w:rPr>
        <w:t>am 1. Januar 2008</w:t>
      </w:r>
      <w:r w:rsidR="00373BA5" w:rsidRPr="00373BA5">
        <w:rPr>
          <w:rFonts w:ascii="Arial" w:hAnsi="Arial" w:cs="Arial"/>
          <w:sz w:val="20"/>
          <w:szCs w:val="20"/>
        </w:rPr>
        <w:t xml:space="preserve"> geltenden Mindestunte</w:t>
      </w:r>
      <w:r w:rsidR="00373BA5" w:rsidRPr="00373BA5">
        <w:rPr>
          <w:rFonts w:ascii="Arial" w:hAnsi="Arial" w:cs="Arial"/>
          <w:sz w:val="20"/>
          <w:szCs w:val="20"/>
        </w:rPr>
        <w:t>r</w:t>
      </w:r>
      <w:r w:rsidR="00373BA5" w:rsidRPr="00373BA5">
        <w:rPr>
          <w:rFonts w:ascii="Arial" w:hAnsi="Arial" w:cs="Arial"/>
          <w:sz w:val="20"/>
          <w:szCs w:val="20"/>
        </w:rPr>
        <w:t>halt</w:t>
      </w:r>
      <w:r w:rsidR="00E160CE">
        <w:rPr>
          <w:rFonts w:ascii="Arial" w:hAnsi="Arial" w:cs="Arial"/>
          <w:sz w:val="20"/>
          <w:szCs w:val="20"/>
        </w:rPr>
        <w:t>, begrenzt auf eine Dezimalstelle, ergibt den neuen Prozentsatz</w:t>
      </w:r>
      <w:r w:rsidR="00FA08B4">
        <w:rPr>
          <w:rFonts w:ascii="Arial" w:hAnsi="Arial" w:cs="Arial"/>
          <w:sz w:val="20"/>
          <w:szCs w:val="20"/>
        </w:rPr>
        <w:t>,</w:t>
      </w:r>
      <w:r w:rsidR="00E160CE">
        <w:rPr>
          <w:rFonts w:ascii="Arial" w:hAnsi="Arial" w:cs="Arial"/>
          <w:sz w:val="20"/>
          <w:szCs w:val="20"/>
        </w:rPr>
        <w:t xml:space="preserve"> </w:t>
      </w:r>
      <w:r w:rsidR="00373BA5">
        <w:rPr>
          <w:rFonts w:ascii="Arial" w:hAnsi="Arial" w:cs="Arial"/>
          <w:sz w:val="20"/>
          <w:szCs w:val="20"/>
        </w:rPr>
        <w:t>Vervielfältigung des neuen Prozentsatzes mit dem Mindestunter</w:t>
      </w:r>
      <w:r w:rsidR="00E160CE">
        <w:rPr>
          <w:rFonts w:ascii="Arial" w:hAnsi="Arial" w:cs="Arial"/>
          <w:sz w:val="20"/>
          <w:szCs w:val="20"/>
        </w:rPr>
        <w:t>halt</w:t>
      </w:r>
      <w:r w:rsidR="00373BA5">
        <w:rPr>
          <w:rFonts w:ascii="Arial" w:hAnsi="Arial" w:cs="Arial"/>
          <w:sz w:val="20"/>
          <w:szCs w:val="20"/>
        </w:rPr>
        <w:t xml:space="preserve"> </w:t>
      </w:r>
      <w:r w:rsidR="00E160CE">
        <w:rPr>
          <w:rFonts w:ascii="Arial" w:hAnsi="Arial" w:cs="Arial"/>
          <w:sz w:val="20"/>
          <w:szCs w:val="20"/>
        </w:rPr>
        <w:t>unter Abzug</w:t>
      </w:r>
      <w:r w:rsidR="00373BA5">
        <w:rPr>
          <w:rFonts w:ascii="Arial" w:hAnsi="Arial" w:cs="Arial"/>
          <w:sz w:val="20"/>
          <w:szCs w:val="20"/>
        </w:rPr>
        <w:t xml:space="preserve"> des hälftigen Kindergeldes</w:t>
      </w:r>
      <w:r w:rsidR="00E160CE">
        <w:rPr>
          <w:rFonts w:ascii="Arial" w:hAnsi="Arial" w:cs="Arial"/>
          <w:sz w:val="20"/>
          <w:szCs w:val="20"/>
        </w:rPr>
        <w:t xml:space="preserve"> ergibt den neuen Unterhaltsbetrag, ggf. Abweichungen nach § 36 Nr. 3 Buchst. b bis d EGZPO</w:t>
      </w:r>
    </w:p>
    <w:p w:rsidR="00A2015C" w:rsidRPr="00496DE3" w:rsidRDefault="00A2015C" w:rsidP="00A201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6DE3">
        <w:rPr>
          <w:rFonts w:ascii="Arial" w:hAnsi="Arial" w:cs="Arial"/>
          <w:sz w:val="20"/>
          <w:szCs w:val="20"/>
        </w:rPr>
        <w:br w:type="page"/>
      </w:r>
    </w:p>
    <w:p w:rsidR="00A2015C" w:rsidRPr="00496DE3" w:rsidRDefault="00A2015C" w:rsidP="00A201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96DE3">
        <w:rPr>
          <w:rFonts w:ascii="Arial" w:hAnsi="Arial" w:cs="Arial"/>
          <w:b/>
          <w:sz w:val="20"/>
          <w:szCs w:val="20"/>
        </w:rPr>
        <w:lastRenderedPageBreak/>
        <w:t>1. Januar 2008</w:t>
      </w:r>
      <w:r>
        <w:rPr>
          <w:rFonts w:ascii="Arial" w:hAnsi="Arial" w:cs="Arial"/>
          <w:b/>
          <w:sz w:val="20"/>
          <w:szCs w:val="20"/>
        </w:rPr>
        <w:t xml:space="preserve"> bis 31. Dezember 2015</w:t>
      </w:r>
      <w:r w:rsidRPr="00496DE3">
        <w:rPr>
          <w:rFonts w:ascii="Arial" w:hAnsi="Arial" w:cs="Arial"/>
          <w:b/>
          <w:sz w:val="20"/>
          <w:szCs w:val="20"/>
        </w:rPr>
        <w:t>: Mindestunterhalt</w:t>
      </w:r>
      <w:r>
        <w:rPr>
          <w:rFonts w:ascii="Arial" w:hAnsi="Arial" w:cs="Arial"/>
          <w:b/>
          <w:sz w:val="20"/>
          <w:szCs w:val="20"/>
        </w:rPr>
        <w:t xml:space="preserve"> nach Kinderfreibetrag</w:t>
      </w:r>
    </w:p>
    <w:p w:rsidR="00A2015C" w:rsidRPr="00496DE3" w:rsidRDefault="00A2015C" w:rsidP="00A201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6DE3">
        <w:rPr>
          <w:rFonts w:ascii="Arial" w:hAnsi="Arial" w:cs="Arial"/>
          <w:sz w:val="20"/>
          <w:szCs w:val="20"/>
        </w:rPr>
        <w:t>Rechtsgrundlagen:</w:t>
      </w:r>
    </w:p>
    <w:p w:rsidR="00A2015C" w:rsidRPr="00496DE3" w:rsidRDefault="00A2015C" w:rsidP="00A2015C">
      <w:pPr>
        <w:pStyle w:val="Listenabsatz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6DE3">
        <w:rPr>
          <w:rFonts w:ascii="Arial" w:hAnsi="Arial" w:cs="Arial"/>
          <w:sz w:val="20"/>
          <w:szCs w:val="20"/>
        </w:rPr>
        <w:t>§§ 1612a, 1612b des Bürgerlichen Gesetzbuchs</w:t>
      </w:r>
    </w:p>
    <w:p w:rsidR="00A2015C" w:rsidRDefault="00A2015C" w:rsidP="00A2015C">
      <w:pPr>
        <w:pStyle w:val="Listenabsatz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6DE3">
        <w:rPr>
          <w:rFonts w:ascii="Arial" w:hAnsi="Arial" w:cs="Arial"/>
          <w:sz w:val="20"/>
          <w:szCs w:val="20"/>
        </w:rPr>
        <w:t>§ 32 Abs. 6</w:t>
      </w:r>
      <w:r>
        <w:rPr>
          <w:rFonts w:ascii="Arial" w:hAnsi="Arial" w:cs="Arial"/>
          <w:sz w:val="20"/>
          <w:szCs w:val="20"/>
        </w:rPr>
        <w:t xml:space="preserve"> Satz 1</w:t>
      </w:r>
      <w:r w:rsidRPr="00496DE3">
        <w:rPr>
          <w:rFonts w:ascii="Arial" w:hAnsi="Arial" w:cs="Arial"/>
          <w:sz w:val="20"/>
          <w:szCs w:val="20"/>
        </w:rPr>
        <w:t>, § 66 Abs. 1 des Einkommensteuergesetzes</w:t>
      </w:r>
    </w:p>
    <w:p w:rsidR="00A2015C" w:rsidRPr="00496DE3" w:rsidRDefault="00A2015C" w:rsidP="00A201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1471"/>
        <w:gridCol w:w="1471"/>
        <w:gridCol w:w="1471"/>
        <w:gridCol w:w="1471"/>
        <w:gridCol w:w="1471"/>
        <w:gridCol w:w="1471"/>
        <w:gridCol w:w="1471"/>
        <w:gridCol w:w="1471"/>
        <w:gridCol w:w="1471"/>
        <w:gridCol w:w="1471"/>
      </w:tblGrid>
      <w:tr w:rsidR="00A2015C" w:rsidRPr="00496DE3" w:rsidTr="00D5303F"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Mindestu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terhalt</w:t>
            </w:r>
            <w:r w:rsidRPr="00496DE3">
              <w:rPr>
                <w:rFonts w:ascii="Arial" w:hAnsi="Arial" w:cs="Arial"/>
                <w:sz w:val="20"/>
                <w:szCs w:val="20"/>
              </w:rPr>
              <w:t xml:space="preserve"> erste Altersstufe (0–5 Jahre)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Mindestu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terhalt</w:t>
            </w:r>
            <w:r w:rsidRPr="00496DE3">
              <w:rPr>
                <w:rFonts w:ascii="Arial" w:hAnsi="Arial" w:cs="Arial"/>
                <w:sz w:val="20"/>
                <w:szCs w:val="20"/>
              </w:rPr>
              <w:t xml:space="preserve"> zweite Altersstufe (6–11 Jahre)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Mindestu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terhalt</w:t>
            </w:r>
            <w:r w:rsidRPr="00496DE3">
              <w:rPr>
                <w:rFonts w:ascii="Arial" w:hAnsi="Arial" w:cs="Arial"/>
                <w:sz w:val="20"/>
                <w:szCs w:val="20"/>
              </w:rPr>
              <w:t xml:space="preserve"> dritte Altersstufe (12–17 Jahre)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Kindergeld erstes und zweites Kind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Kindergeld drittes Kind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Kindergeld viertes Kind und weitere Kinder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Kinderfreib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trag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doppelter Kinderfreib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trag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 Zwölftel des doppe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ten Kinde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freibetrages</w:t>
            </w:r>
          </w:p>
        </w:tc>
      </w:tr>
      <w:tr w:rsidR="00A2015C" w:rsidRPr="00496DE3" w:rsidTr="00D5303F"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1.1.2008–31.12.2008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279 € *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322 € *</w:t>
            </w:r>
          </w:p>
        </w:tc>
        <w:tc>
          <w:tcPr>
            <w:tcW w:w="1471" w:type="dxa"/>
          </w:tcPr>
          <w:p w:rsidR="00A2015C" w:rsidRPr="00CB4ADD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365 € *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154 €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154 €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179 €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1.824 €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3.648 €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304 €</w:t>
            </w:r>
          </w:p>
        </w:tc>
      </w:tr>
      <w:tr w:rsidR="00A2015C" w:rsidRPr="00496DE3" w:rsidTr="00D5303F"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1.1.2009–3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96DE3">
              <w:rPr>
                <w:rFonts w:ascii="Arial" w:hAnsi="Arial" w:cs="Arial"/>
                <w:sz w:val="20"/>
                <w:szCs w:val="20"/>
              </w:rPr>
              <w:t>.12.2009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281 €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322 €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377 €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164 €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6DE3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170 €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6DE3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195 €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6DE3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1.932 €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3.864 €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322 €</w:t>
            </w:r>
          </w:p>
        </w:tc>
      </w:tr>
      <w:tr w:rsidR="00A2015C" w:rsidRPr="00496DE3" w:rsidTr="00D5303F"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1.1.2010–31.7.2015 ***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317 €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364 €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426 €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184 €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190 €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215 €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2.184 €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4.368 €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364 €</w:t>
            </w:r>
          </w:p>
        </w:tc>
      </w:tr>
      <w:tr w:rsidR="00A2015C" w:rsidRPr="00496DE3" w:rsidTr="00D5303F">
        <w:tc>
          <w:tcPr>
            <w:tcW w:w="1471" w:type="dxa"/>
          </w:tcPr>
          <w:p w:rsidR="00A2015C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1.8.2015 ***–31.12.2015</w:t>
            </w:r>
          </w:p>
        </w:tc>
        <w:tc>
          <w:tcPr>
            <w:tcW w:w="1471" w:type="dxa"/>
          </w:tcPr>
          <w:p w:rsidR="00A2015C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328 €</w:t>
            </w:r>
          </w:p>
        </w:tc>
        <w:tc>
          <w:tcPr>
            <w:tcW w:w="1471" w:type="dxa"/>
          </w:tcPr>
          <w:p w:rsidR="00A2015C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376 €</w:t>
            </w:r>
          </w:p>
        </w:tc>
        <w:tc>
          <w:tcPr>
            <w:tcW w:w="1471" w:type="dxa"/>
          </w:tcPr>
          <w:p w:rsidR="00A2015C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440 €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188 € ***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194 € ***</w:t>
            </w:r>
          </w:p>
        </w:tc>
        <w:tc>
          <w:tcPr>
            <w:tcW w:w="1471" w:type="dxa"/>
          </w:tcPr>
          <w:p w:rsidR="00A2015C" w:rsidRPr="00496DE3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219 € ***</w:t>
            </w:r>
          </w:p>
        </w:tc>
        <w:tc>
          <w:tcPr>
            <w:tcW w:w="1471" w:type="dxa"/>
          </w:tcPr>
          <w:p w:rsidR="00A2015C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2.256 €</w:t>
            </w:r>
          </w:p>
        </w:tc>
        <w:tc>
          <w:tcPr>
            <w:tcW w:w="1471" w:type="dxa"/>
          </w:tcPr>
          <w:p w:rsidR="00A2015C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4.512 €</w:t>
            </w:r>
          </w:p>
        </w:tc>
        <w:tc>
          <w:tcPr>
            <w:tcW w:w="1471" w:type="dxa"/>
          </w:tcPr>
          <w:p w:rsidR="00A2015C" w:rsidRDefault="00A2015C" w:rsidP="00D53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376 €</w:t>
            </w:r>
          </w:p>
        </w:tc>
      </w:tr>
    </w:tbl>
    <w:p w:rsidR="00A2015C" w:rsidRDefault="00A2015C" w:rsidP="00A201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015C" w:rsidRDefault="00A2015C" w:rsidP="00A201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Beträge gemäß § 36 Nr. 4 EGZPO anstelle der nach § 1612a BGB errechneten Beträge (265 € / 304 € / 356 €)</w:t>
      </w:r>
    </w:p>
    <w:p w:rsidR="00A2015C" w:rsidRDefault="00A2015C" w:rsidP="00A201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015C" w:rsidRDefault="00A2015C" w:rsidP="00A201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496DE3">
        <w:rPr>
          <w:rFonts w:ascii="Arial" w:hAnsi="Arial" w:cs="Arial"/>
          <w:sz w:val="20"/>
          <w:szCs w:val="20"/>
        </w:rPr>
        <w:t xml:space="preserve">* </w:t>
      </w:r>
      <w:r w:rsidRPr="00496DE3">
        <w:rPr>
          <w:rFonts w:ascii="Arial" w:hAnsi="Arial" w:cs="Arial"/>
          <w:color w:val="000000"/>
          <w:sz w:val="20"/>
          <w:szCs w:val="20"/>
        </w:rPr>
        <w:t xml:space="preserve">Darüber hinaus </w:t>
      </w:r>
      <w:r>
        <w:rPr>
          <w:rFonts w:ascii="Arial" w:hAnsi="Arial" w:cs="Arial"/>
          <w:color w:val="000000"/>
          <w:sz w:val="20"/>
          <w:szCs w:val="20"/>
        </w:rPr>
        <w:t>wurde</w:t>
      </w:r>
      <w:r w:rsidRPr="00496DE3">
        <w:rPr>
          <w:rFonts w:ascii="Arial" w:hAnsi="Arial" w:cs="Arial"/>
          <w:color w:val="000000"/>
          <w:sz w:val="20"/>
          <w:szCs w:val="20"/>
        </w:rPr>
        <w:t xml:space="preserve"> für jedes Kind, für das im Kalenderjahr 2009 mindestens für einen Kalendermonat ein Anspruch auf Kindergeld </w:t>
      </w:r>
      <w:r>
        <w:rPr>
          <w:rFonts w:ascii="Arial" w:hAnsi="Arial" w:cs="Arial"/>
          <w:color w:val="000000"/>
          <w:sz w:val="20"/>
          <w:szCs w:val="20"/>
        </w:rPr>
        <w:t>bestand</w:t>
      </w:r>
      <w:r w:rsidRPr="00496DE3">
        <w:rPr>
          <w:rFonts w:ascii="Arial" w:hAnsi="Arial" w:cs="Arial"/>
          <w:color w:val="000000"/>
          <w:sz w:val="20"/>
          <w:szCs w:val="20"/>
        </w:rPr>
        <w:t>, für das Kalende</w:t>
      </w:r>
      <w:r w:rsidRPr="00496DE3">
        <w:rPr>
          <w:rFonts w:ascii="Arial" w:hAnsi="Arial" w:cs="Arial"/>
          <w:color w:val="000000"/>
          <w:sz w:val="20"/>
          <w:szCs w:val="20"/>
        </w:rPr>
        <w:t>r</w:t>
      </w:r>
      <w:r w:rsidRPr="00496DE3">
        <w:rPr>
          <w:rFonts w:ascii="Arial" w:hAnsi="Arial" w:cs="Arial"/>
          <w:color w:val="000000"/>
          <w:sz w:val="20"/>
          <w:szCs w:val="20"/>
        </w:rPr>
        <w:t xml:space="preserve">jahr 2009 ein Einmalbetrag in Höhe von 100 </w:t>
      </w:r>
      <w:r>
        <w:rPr>
          <w:rFonts w:ascii="Arial" w:hAnsi="Arial" w:cs="Arial"/>
          <w:color w:val="000000"/>
          <w:sz w:val="20"/>
          <w:szCs w:val="20"/>
        </w:rPr>
        <w:t>€</w:t>
      </w:r>
      <w:r w:rsidRPr="00496DE3">
        <w:rPr>
          <w:rFonts w:ascii="Arial" w:hAnsi="Arial" w:cs="Arial"/>
          <w:color w:val="000000"/>
          <w:sz w:val="20"/>
          <w:szCs w:val="20"/>
        </w:rPr>
        <w:t xml:space="preserve"> gezahlt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2015C" w:rsidRDefault="00A2015C" w:rsidP="00A201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2015C" w:rsidRPr="0055510C" w:rsidRDefault="00A2015C" w:rsidP="00A201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5510C">
        <w:rPr>
          <w:rFonts w:ascii="Arial" w:hAnsi="Arial" w:cs="Arial"/>
          <w:color w:val="000000"/>
          <w:sz w:val="20"/>
          <w:szCs w:val="20"/>
        </w:rPr>
        <w:t xml:space="preserve">*** Die </w:t>
      </w:r>
      <w:r>
        <w:rPr>
          <w:rFonts w:ascii="Arial" w:hAnsi="Arial" w:cs="Arial"/>
          <w:color w:val="000000"/>
          <w:sz w:val="20"/>
          <w:szCs w:val="20"/>
        </w:rPr>
        <w:t>Erhöhung des Kinderfreibetrages (</w:t>
      </w:r>
      <w:r w:rsidRPr="0055510C">
        <w:rPr>
          <w:rFonts w:ascii="Arial" w:hAnsi="Arial" w:cs="Arial"/>
          <w:color w:val="000000"/>
          <w:sz w:val="20"/>
          <w:szCs w:val="20"/>
        </w:rPr>
        <w:t>Änderung des § 32 Abs. 6 Satz 1 EStG durch Art. 1 Nr. 2 des Gesetzes zur Anhebung des Grundfreibetrags, des Kinde</w:t>
      </w:r>
      <w:r w:rsidRPr="0055510C">
        <w:rPr>
          <w:rFonts w:ascii="Arial" w:hAnsi="Arial" w:cs="Arial"/>
          <w:color w:val="000000"/>
          <w:sz w:val="20"/>
          <w:szCs w:val="20"/>
        </w:rPr>
        <w:t>r</w:t>
      </w:r>
      <w:r w:rsidRPr="0055510C">
        <w:rPr>
          <w:rFonts w:ascii="Arial" w:hAnsi="Arial" w:cs="Arial"/>
          <w:color w:val="000000"/>
          <w:sz w:val="20"/>
          <w:szCs w:val="20"/>
        </w:rPr>
        <w:t>freibetrags, des Kindergeldes und des Kinderzuschlags vom 16.7.20</w:t>
      </w:r>
      <w:r>
        <w:rPr>
          <w:rFonts w:ascii="Arial" w:hAnsi="Arial" w:cs="Arial"/>
          <w:color w:val="000000"/>
          <w:sz w:val="20"/>
          <w:szCs w:val="20"/>
        </w:rPr>
        <w:t xml:space="preserve">15, </w:t>
      </w:r>
      <w:r w:rsidRPr="0055510C">
        <w:rPr>
          <w:rFonts w:ascii="Arial" w:hAnsi="Arial" w:cs="Arial"/>
          <w:color w:val="000000"/>
          <w:sz w:val="20"/>
          <w:szCs w:val="20"/>
        </w:rPr>
        <w:t xml:space="preserve">BGBl. I S. 1202) ist am 23.7.2015 in Kraft getreten (Art. 10 Abs. 1 KZKGKuGFbAnhG). </w:t>
      </w:r>
      <w:r>
        <w:rPr>
          <w:rFonts w:ascii="Arial" w:hAnsi="Arial" w:cs="Arial"/>
          <w:color w:val="000000"/>
          <w:sz w:val="20"/>
          <w:szCs w:val="20"/>
        </w:rPr>
        <w:t>Sie ist rückwirkend zum 1.1.2015 anzuwenden (§ 52 Abs. 1 Satz 1 EStG in der am 23.7.2015 geltenden Fassung).</w:t>
      </w:r>
      <w:r w:rsidRPr="0055510C">
        <w:rPr>
          <w:rFonts w:ascii="Arial" w:hAnsi="Arial" w:cs="Arial"/>
          <w:color w:val="000000"/>
          <w:sz w:val="20"/>
          <w:szCs w:val="20"/>
        </w:rPr>
        <w:t xml:space="preserve"> Gemäß Abs. 3 des Gesetzes zur Nichtanrechnung rückwirkender Erhöhungen des Kindergeldes (Art. 8 KZKGKuGFbAnhG) ist bei der Anwendung des § 1612b Abs. 1 BGB für die Zeit bis zum 31.12.2015 Kindergeld von 184 € / 190 € / 215 € maßgeblich.</w:t>
      </w:r>
      <w:r>
        <w:rPr>
          <w:rFonts w:ascii="Arial" w:hAnsi="Arial" w:cs="Arial"/>
          <w:color w:val="000000"/>
          <w:sz w:val="20"/>
          <w:szCs w:val="20"/>
        </w:rPr>
        <w:t xml:space="preserve"> Die Düsseldorfer Tabelle ist mit Wirkung vom 1.8.2015 geändert worden.</w:t>
      </w:r>
    </w:p>
    <w:p w:rsidR="005E3EE9" w:rsidRPr="00496DE3" w:rsidRDefault="005E3EE9" w:rsidP="005E3E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6DE3">
        <w:rPr>
          <w:rFonts w:ascii="Arial" w:hAnsi="Arial" w:cs="Arial"/>
          <w:sz w:val="20"/>
          <w:szCs w:val="20"/>
        </w:rPr>
        <w:br w:type="page"/>
      </w:r>
    </w:p>
    <w:p w:rsidR="005E3EE9" w:rsidRPr="00496DE3" w:rsidRDefault="003D6119" w:rsidP="005E3EE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96DE3">
        <w:rPr>
          <w:rFonts w:ascii="Arial" w:hAnsi="Arial" w:cs="Arial"/>
          <w:b/>
          <w:sz w:val="20"/>
          <w:szCs w:val="20"/>
        </w:rPr>
        <w:lastRenderedPageBreak/>
        <w:t xml:space="preserve">ab </w:t>
      </w:r>
      <w:r w:rsidR="005E3EE9" w:rsidRPr="00496DE3">
        <w:rPr>
          <w:rFonts w:ascii="Arial" w:hAnsi="Arial" w:cs="Arial"/>
          <w:b/>
          <w:sz w:val="20"/>
          <w:szCs w:val="20"/>
        </w:rPr>
        <w:t xml:space="preserve">1. </w:t>
      </w:r>
      <w:r w:rsidR="00A2015C">
        <w:rPr>
          <w:rFonts w:ascii="Arial" w:hAnsi="Arial" w:cs="Arial"/>
          <w:b/>
          <w:sz w:val="20"/>
          <w:szCs w:val="20"/>
        </w:rPr>
        <w:t>Januar 2016</w:t>
      </w:r>
      <w:r w:rsidR="005E3EE9" w:rsidRPr="00496DE3">
        <w:rPr>
          <w:rFonts w:ascii="Arial" w:hAnsi="Arial" w:cs="Arial"/>
          <w:b/>
          <w:sz w:val="20"/>
          <w:szCs w:val="20"/>
        </w:rPr>
        <w:t xml:space="preserve">: </w:t>
      </w:r>
      <w:r w:rsidRPr="00496DE3">
        <w:rPr>
          <w:rFonts w:ascii="Arial" w:hAnsi="Arial" w:cs="Arial"/>
          <w:b/>
          <w:sz w:val="20"/>
          <w:szCs w:val="20"/>
        </w:rPr>
        <w:t>Mindestunterhalt</w:t>
      </w:r>
      <w:r w:rsidR="00A2015C">
        <w:rPr>
          <w:rFonts w:ascii="Arial" w:hAnsi="Arial" w:cs="Arial"/>
          <w:b/>
          <w:sz w:val="20"/>
          <w:szCs w:val="20"/>
        </w:rPr>
        <w:t xml:space="preserve"> nach Existenzminimum</w:t>
      </w:r>
    </w:p>
    <w:p w:rsidR="005E3EE9" w:rsidRPr="00496DE3" w:rsidRDefault="005E3EE9" w:rsidP="005E3E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6DE3">
        <w:rPr>
          <w:rFonts w:ascii="Arial" w:hAnsi="Arial" w:cs="Arial"/>
          <w:sz w:val="20"/>
          <w:szCs w:val="20"/>
        </w:rPr>
        <w:t>Rechtsgrundlagen:</w:t>
      </w:r>
    </w:p>
    <w:p w:rsidR="005E3EE9" w:rsidRPr="00496DE3" w:rsidRDefault="005E3EE9" w:rsidP="005E3EE9">
      <w:pPr>
        <w:pStyle w:val="Listenabsatz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6DE3">
        <w:rPr>
          <w:rFonts w:ascii="Arial" w:hAnsi="Arial" w:cs="Arial"/>
          <w:sz w:val="20"/>
          <w:szCs w:val="20"/>
        </w:rPr>
        <w:t>§§ 1612a, 1612b des Bürgerlichen Gesetzbuchs</w:t>
      </w:r>
    </w:p>
    <w:p w:rsidR="00A2015C" w:rsidRPr="00496DE3" w:rsidRDefault="00A2015C" w:rsidP="00A2015C">
      <w:pPr>
        <w:pStyle w:val="Listenabsatz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 der Mindestunterhaltsverordnung</w:t>
      </w:r>
    </w:p>
    <w:p w:rsidR="005E3EE9" w:rsidRDefault="005E3EE9" w:rsidP="005E3EE9">
      <w:pPr>
        <w:pStyle w:val="Listenabsatz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6DE3">
        <w:rPr>
          <w:rFonts w:ascii="Arial" w:hAnsi="Arial" w:cs="Arial"/>
          <w:sz w:val="20"/>
          <w:szCs w:val="20"/>
        </w:rPr>
        <w:t>§ 66 Abs. 1 des Einkommensteuergesetzes</w:t>
      </w:r>
    </w:p>
    <w:p w:rsidR="005E3EE9" w:rsidRPr="00496DE3" w:rsidRDefault="005E3EE9" w:rsidP="005E3E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1471"/>
        <w:gridCol w:w="1471"/>
        <w:gridCol w:w="1471"/>
        <w:gridCol w:w="1471"/>
        <w:gridCol w:w="1471"/>
        <w:gridCol w:w="1471"/>
        <w:gridCol w:w="1471"/>
      </w:tblGrid>
      <w:tr w:rsidR="00A2015C" w:rsidRPr="00496DE3" w:rsidTr="00E93B2B">
        <w:tc>
          <w:tcPr>
            <w:tcW w:w="1471" w:type="dxa"/>
          </w:tcPr>
          <w:p w:rsidR="00A2015C" w:rsidRPr="00496DE3" w:rsidRDefault="00A2015C" w:rsidP="00002F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:rsidR="00A2015C" w:rsidRPr="00496DE3" w:rsidRDefault="00A2015C" w:rsidP="00002F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Mindestu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terhalt</w:t>
            </w:r>
            <w:r w:rsidRPr="00496DE3">
              <w:rPr>
                <w:rFonts w:ascii="Arial" w:hAnsi="Arial" w:cs="Arial"/>
                <w:sz w:val="20"/>
                <w:szCs w:val="20"/>
              </w:rPr>
              <w:t xml:space="preserve"> erste Altersstufe (0–5 Jahre)</w:t>
            </w:r>
          </w:p>
        </w:tc>
        <w:tc>
          <w:tcPr>
            <w:tcW w:w="1471" w:type="dxa"/>
          </w:tcPr>
          <w:p w:rsidR="00A2015C" w:rsidRPr="00496DE3" w:rsidRDefault="00A2015C" w:rsidP="00002F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Mindestu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terhalt</w:t>
            </w:r>
            <w:r w:rsidRPr="00496DE3">
              <w:rPr>
                <w:rFonts w:ascii="Arial" w:hAnsi="Arial" w:cs="Arial"/>
                <w:sz w:val="20"/>
                <w:szCs w:val="20"/>
              </w:rPr>
              <w:t xml:space="preserve"> zweite Altersstufe (6–11 Jahre)</w:t>
            </w:r>
          </w:p>
        </w:tc>
        <w:tc>
          <w:tcPr>
            <w:tcW w:w="1471" w:type="dxa"/>
          </w:tcPr>
          <w:p w:rsidR="00A2015C" w:rsidRPr="00496DE3" w:rsidRDefault="00A2015C" w:rsidP="00002F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Mindestu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terhalt</w:t>
            </w:r>
            <w:r w:rsidRPr="00496DE3">
              <w:rPr>
                <w:rFonts w:ascii="Arial" w:hAnsi="Arial" w:cs="Arial"/>
                <w:sz w:val="20"/>
                <w:szCs w:val="20"/>
              </w:rPr>
              <w:t xml:space="preserve"> dritte Altersstufe (12–17 Jahre)</w:t>
            </w:r>
          </w:p>
        </w:tc>
        <w:tc>
          <w:tcPr>
            <w:tcW w:w="1471" w:type="dxa"/>
          </w:tcPr>
          <w:p w:rsidR="00A2015C" w:rsidRPr="00496DE3" w:rsidRDefault="00A2015C" w:rsidP="00002F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Kindergeld erstes und zweites Kind</w:t>
            </w:r>
          </w:p>
        </w:tc>
        <w:tc>
          <w:tcPr>
            <w:tcW w:w="1471" w:type="dxa"/>
          </w:tcPr>
          <w:p w:rsidR="00A2015C" w:rsidRPr="00496DE3" w:rsidRDefault="00A2015C" w:rsidP="00002F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Kindergeld drittes Kind</w:t>
            </w:r>
          </w:p>
        </w:tc>
        <w:tc>
          <w:tcPr>
            <w:tcW w:w="1471" w:type="dxa"/>
          </w:tcPr>
          <w:p w:rsidR="00A2015C" w:rsidRPr="00496DE3" w:rsidRDefault="00A2015C" w:rsidP="00002F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6DE3">
              <w:rPr>
                <w:rFonts w:ascii="Arial" w:hAnsi="Arial" w:cs="Arial"/>
                <w:sz w:val="20"/>
                <w:szCs w:val="20"/>
              </w:rPr>
              <w:t>Kindergeld viertes Kind und weitere Kinder</w:t>
            </w:r>
          </w:p>
        </w:tc>
      </w:tr>
      <w:tr w:rsidR="00A2015C" w:rsidRPr="00496DE3" w:rsidTr="00E93B2B">
        <w:tc>
          <w:tcPr>
            <w:tcW w:w="1471" w:type="dxa"/>
          </w:tcPr>
          <w:p w:rsidR="00A2015C" w:rsidRDefault="00A2015C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1.1.2016–31.12.2016</w:t>
            </w:r>
          </w:p>
          <w:p w:rsidR="00A2015C" w:rsidRDefault="00A2015C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:rsidR="00A2015C" w:rsidRDefault="00A2015C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335 €</w:t>
            </w:r>
          </w:p>
        </w:tc>
        <w:tc>
          <w:tcPr>
            <w:tcW w:w="1471" w:type="dxa"/>
          </w:tcPr>
          <w:p w:rsidR="00A2015C" w:rsidRDefault="00A2015C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384 €</w:t>
            </w:r>
          </w:p>
        </w:tc>
        <w:tc>
          <w:tcPr>
            <w:tcW w:w="1471" w:type="dxa"/>
          </w:tcPr>
          <w:p w:rsidR="00A2015C" w:rsidRDefault="00A2015C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450 €</w:t>
            </w:r>
          </w:p>
        </w:tc>
        <w:tc>
          <w:tcPr>
            <w:tcW w:w="1471" w:type="dxa"/>
          </w:tcPr>
          <w:p w:rsidR="00A2015C" w:rsidRDefault="00A2015C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190 €</w:t>
            </w:r>
          </w:p>
        </w:tc>
        <w:tc>
          <w:tcPr>
            <w:tcW w:w="1471" w:type="dxa"/>
          </w:tcPr>
          <w:p w:rsidR="00A2015C" w:rsidRDefault="00A2015C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196 €</w:t>
            </w:r>
          </w:p>
        </w:tc>
        <w:tc>
          <w:tcPr>
            <w:tcW w:w="1471" w:type="dxa"/>
          </w:tcPr>
          <w:p w:rsidR="00A2015C" w:rsidRDefault="00A2015C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221 €</w:t>
            </w:r>
          </w:p>
        </w:tc>
      </w:tr>
      <w:tr w:rsidR="00A2015C" w:rsidRPr="00496DE3" w:rsidTr="00E93B2B">
        <w:tc>
          <w:tcPr>
            <w:tcW w:w="1471" w:type="dxa"/>
          </w:tcPr>
          <w:p w:rsidR="00A2015C" w:rsidRDefault="00A2015C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1.1.2017–</w:t>
            </w:r>
          </w:p>
        </w:tc>
        <w:tc>
          <w:tcPr>
            <w:tcW w:w="1471" w:type="dxa"/>
          </w:tcPr>
          <w:p w:rsidR="00A2015C" w:rsidRDefault="00A2015C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342 €</w:t>
            </w:r>
          </w:p>
        </w:tc>
        <w:tc>
          <w:tcPr>
            <w:tcW w:w="1471" w:type="dxa"/>
          </w:tcPr>
          <w:p w:rsidR="00A2015C" w:rsidRDefault="00A2015C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393 €</w:t>
            </w:r>
          </w:p>
        </w:tc>
        <w:tc>
          <w:tcPr>
            <w:tcW w:w="1471" w:type="dxa"/>
          </w:tcPr>
          <w:p w:rsidR="00A2015C" w:rsidRDefault="00A2015C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460 €</w:t>
            </w:r>
          </w:p>
        </w:tc>
        <w:tc>
          <w:tcPr>
            <w:tcW w:w="1471" w:type="dxa"/>
          </w:tcPr>
          <w:p w:rsidR="00A2015C" w:rsidRDefault="00A2015C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:rsidR="00A2015C" w:rsidRDefault="00A2015C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</w:tcPr>
          <w:p w:rsidR="00A2015C" w:rsidRDefault="00A2015C" w:rsidP="00A56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528C" w:rsidRDefault="0091528C" w:rsidP="00CD57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91528C" w:rsidSect="00314368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380" w:rsidRDefault="00527380" w:rsidP="007E7F34">
      <w:pPr>
        <w:spacing w:after="0" w:line="240" w:lineRule="auto"/>
      </w:pPr>
      <w:r>
        <w:separator/>
      </w:r>
    </w:p>
  </w:endnote>
  <w:endnote w:type="continuationSeparator" w:id="0">
    <w:p w:rsidR="00527380" w:rsidRDefault="00527380" w:rsidP="007E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380" w:rsidRDefault="00527380" w:rsidP="007E7F34">
      <w:pPr>
        <w:spacing w:after="0" w:line="240" w:lineRule="auto"/>
      </w:pPr>
      <w:r>
        <w:separator/>
      </w:r>
    </w:p>
  </w:footnote>
  <w:footnote w:type="continuationSeparator" w:id="0">
    <w:p w:rsidR="00527380" w:rsidRDefault="00527380" w:rsidP="007E7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328"/>
    <w:multiLevelType w:val="hybridMultilevel"/>
    <w:tmpl w:val="B2C23D6C"/>
    <w:lvl w:ilvl="0" w:tplc="00A4D44C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hint="default"/>
      </w:rPr>
    </w:lvl>
    <w:lvl w:ilvl="1" w:tplc="72D266CE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D266CE">
      <w:start w:val="1"/>
      <w:numFmt w:val="lowerLetter"/>
      <w:lvlText w:val="%4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97863"/>
    <w:multiLevelType w:val="hybridMultilevel"/>
    <w:tmpl w:val="4D9E35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0662"/>
    <w:multiLevelType w:val="hybridMultilevel"/>
    <w:tmpl w:val="D53032BC"/>
    <w:lvl w:ilvl="0" w:tplc="01B4B06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A556D"/>
    <w:multiLevelType w:val="hybridMultilevel"/>
    <w:tmpl w:val="736C65EC"/>
    <w:lvl w:ilvl="0" w:tplc="2B301FCE">
      <w:start w:val="1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A261F"/>
    <w:multiLevelType w:val="hybridMultilevel"/>
    <w:tmpl w:val="369C8020"/>
    <w:lvl w:ilvl="0" w:tplc="0E3C55D4">
      <w:numFmt w:val="bullet"/>
      <w:lvlText w:val="–"/>
      <w:lvlJc w:val="left"/>
      <w:pPr>
        <w:tabs>
          <w:tab w:val="num" w:pos="1210"/>
        </w:tabs>
        <w:ind w:left="121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6A4"/>
    <w:rsid w:val="00037A94"/>
    <w:rsid w:val="000431AE"/>
    <w:rsid w:val="000A7638"/>
    <w:rsid w:val="000B71FA"/>
    <w:rsid w:val="00113851"/>
    <w:rsid w:val="0013023E"/>
    <w:rsid w:val="0014103B"/>
    <w:rsid w:val="00142E48"/>
    <w:rsid w:val="00164F2F"/>
    <w:rsid w:val="0017123D"/>
    <w:rsid w:val="001A3A04"/>
    <w:rsid w:val="001F2D7B"/>
    <w:rsid w:val="002255C6"/>
    <w:rsid w:val="00232DEC"/>
    <w:rsid w:val="00237E24"/>
    <w:rsid w:val="00246C1E"/>
    <w:rsid w:val="002A3CBF"/>
    <w:rsid w:val="002A5272"/>
    <w:rsid w:val="002A635E"/>
    <w:rsid w:val="002D58CC"/>
    <w:rsid w:val="00314368"/>
    <w:rsid w:val="00373BA5"/>
    <w:rsid w:val="00375008"/>
    <w:rsid w:val="003D6119"/>
    <w:rsid w:val="003D7D34"/>
    <w:rsid w:val="0040129B"/>
    <w:rsid w:val="00444857"/>
    <w:rsid w:val="004709BB"/>
    <w:rsid w:val="00496DE3"/>
    <w:rsid w:val="004B6ABC"/>
    <w:rsid w:val="004D39E6"/>
    <w:rsid w:val="00527380"/>
    <w:rsid w:val="00534459"/>
    <w:rsid w:val="0055510C"/>
    <w:rsid w:val="00580056"/>
    <w:rsid w:val="005A226B"/>
    <w:rsid w:val="005E3EE9"/>
    <w:rsid w:val="00647875"/>
    <w:rsid w:val="00657B82"/>
    <w:rsid w:val="00662E1C"/>
    <w:rsid w:val="006733E2"/>
    <w:rsid w:val="0068136E"/>
    <w:rsid w:val="006813E3"/>
    <w:rsid w:val="006937F2"/>
    <w:rsid w:val="006B4F95"/>
    <w:rsid w:val="007603F1"/>
    <w:rsid w:val="00774D16"/>
    <w:rsid w:val="007E7F34"/>
    <w:rsid w:val="007F0618"/>
    <w:rsid w:val="00832BB2"/>
    <w:rsid w:val="0084783D"/>
    <w:rsid w:val="008B5BA2"/>
    <w:rsid w:val="008D0A51"/>
    <w:rsid w:val="008D6F1F"/>
    <w:rsid w:val="00902FF9"/>
    <w:rsid w:val="00904317"/>
    <w:rsid w:val="0091528C"/>
    <w:rsid w:val="009156AF"/>
    <w:rsid w:val="009366A4"/>
    <w:rsid w:val="00971D95"/>
    <w:rsid w:val="009746CE"/>
    <w:rsid w:val="0098187A"/>
    <w:rsid w:val="00982315"/>
    <w:rsid w:val="009E604A"/>
    <w:rsid w:val="009E66E6"/>
    <w:rsid w:val="00A2015C"/>
    <w:rsid w:val="00A40F45"/>
    <w:rsid w:val="00A53826"/>
    <w:rsid w:val="00A56A70"/>
    <w:rsid w:val="00A641AF"/>
    <w:rsid w:val="00A779E0"/>
    <w:rsid w:val="00A8346C"/>
    <w:rsid w:val="00AA0073"/>
    <w:rsid w:val="00AC4D7B"/>
    <w:rsid w:val="00AC63C8"/>
    <w:rsid w:val="00AD5C15"/>
    <w:rsid w:val="00AE11BC"/>
    <w:rsid w:val="00B04C5C"/>
    <w:rsid w:val="00B2159F"/>
    <w:rsid w:val="00BD74F9"/>
    <w:rsid w:val="00BE643E"/>
    <w:rsid w:val="00C4684E"/>
    <w:rsid w:val="00C53B1F"/>
    <w:rsid w:val="00C66125"/>
    <w:rsid w:val="00C67A7C"/>
    <w:rsid w:val="00C91D9D"/>
    <w:rsid w:val="00CB4ADD"/>
    <w:rsid w:val="00CD57FB"/>
    <w:rsid w:val="00CE6CBC"/>
    <w:rsid w:val="00D726FE"/>
    <w:rsid w:val="00D756B5"/>
    <w:rsid w:val="00D9389F"/>
    <w:rsid w:val="00E160CE"/>
    <w:rsid w:val="00E26D4F"/>
    <w:rsid w:val="00E537F0"/>
    <w:rsid w:val="00E543C3"/>
    <w:rsid w:val="00E607C3"/>
    <w:rsid w:val="00E61077"/>
    <w:rsid w:val="00E64BFA"/>
    <w:rsid w:val="00E74BA2"/>
    <w:rsid w:val="00E755C3"/>
    <w:rsid w:val="00EC1B4A"/>
    <w:rsid w:val="00EC6F41"/>
    <w:rsid w:val="00EF4CE4"/>
    <w:rsid w:val="00F045B3"/>
    <w:rsid w:val="00F411A9"/>
    <w:rsid w:val="00F71722"/>
    <w:rsid w:val="00F74260"/>
    <w:rsid w:val="00F751BA"/>
    <w:rsid w:val="00F81A96"/>
    <w:rsid w:val="00F94DCD"/>
    <w:rsid w:val="00FA08B4"/>
    <w:rsid w:val="00FD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66A4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7F34"/>
    <w:rPr>
      <w:rFonts w:asciiTheme="minorHAnsi" w:eastAsiaTheme="minorEastAsia" w:hAnsiTheme="minorHAnsi"/>
      <w:sz w:val="22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7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7F34"/>
    <w:rPr>
      <w:rFonts w:asciiTheme="minorHAnsi" w:eastAsiaTheme="minorEastAsia" w:hAnsiTheme="minorHAnsi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7E7F34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31436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373BA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73BA5"/>
    <w:rPr>
      <w:rFonts w:asciiTheme="minorHAnsi" w:eastAsiaTheme="minorEastAsia" w:hAnsiTheme="minorHAnsi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373B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6918">
                  <w:marLeft w:val="40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46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26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5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500255">
                                          <w:marLeft w:val="0"/>
                                          <w:marRight w:val="0"/>
                                          <w:marTop w:val="21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47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02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39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70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99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99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07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56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5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4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35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754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9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10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9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6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14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28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07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83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37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937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3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36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8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41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17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72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29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00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03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0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D81F5-D9D0-4014-AF77-4A880EE8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RellermeyerK</dc:creator>
  <cp:lastModifiedBy>RellermeyerK</cp:lastModifiedBy>
  <cp:revision>92</cp:revision>
  <dcterms:created xsi:type="dcterms:W3CDTF">2015-07-22T07:37:00Z</dcterms:created>
  <dcterms:modified xsi:type="dcterms:W3CDTF">2015-12-11T06:31:00Z</dcterms:modified>
</cp:coreProperties>
</file>