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8"/>
        <w:gridCol w:w="7139"/>
      </w:tblGrid>
      <w:tr w:rsidR="0055761B" w:rsidRPr="00920BA1" w:rsidTr="00F17586">
        <w:tc>
          <w:tcPr>
            <w:tcW w:w="7138" w:type="dxa"/>
          </w:tcPr>
          <w:p w:rsidR="00D84161" w:rsidRPr="007630B2" w:rsidRDefault="00B81EAF" w:rsidP="006B2F74">
            <w:pPr>
              <w:spacing w:after="0" w:line="240" w:lineRule="auto"/>
              <w:rPr>
                <w:rFonts w:ascii="Arial" w:hAnsi="Arial" w:cs="Arial"/>
                <w:sz w:val="48"/>
                <w:szCs w:val="48"/>
              </w:rPr>
            </w:pPr>
            <w:r>
              <w:rPr>
                <w:rFonts w:ascii="Arial" w:hAnsi="Arial" w:cs="Arial"/>
                <w:sz w:val="48"/>
                <w:szCs w:val="48"/>
              </w:rPr>
              <w:t>Vergütungsrecht bisher</w:t>
            </w:r>
          </w:p>
        </w:tc>
        <w:tc>
          <w:tcPr>
            <w:tcW w:w="7139" w:type="dxa"/>
          </w:tcPr>
          <w:p w:rsidR="00D84161" w:rsidRPr="007630B2" w:rsidRDefault="0055761B" w:rsidP="006B2F74">
            <w:pPr>
              <w:spacing w:after="0" w:line="240" w:lineRule="auto"/>
              <w:rPr>
                <w:rFonts w:ascii="Arial" w:hAnsi="Arial" w:cs="Arial"/>
                <w:sz w:val="48"/>
                <w:szCs w:val="48"/>
              </w:rPr>
            </w:pPr>
            <w:r>
              <w:rPr>
                <w:rFonts w:ascii="Arial" w:hAnsi="Arial" w:cs="Arial"/>
                <w:sz w:val="48"/>
                <w:szCs w:val="48"/>
              </w:rPr>
              <w:t>Vergütungsrecht neu</w:t>
            </w:r>
          </w:p>
        </w:tc>
      </w:tr>
      <w:tr w:rsidR="00BC3AA1" w:rsidRPr="00920BA1" w:rsidTr="00F17586">
        <w:tc>
          <w:tcPr>
            <w:tcW w:w="7138" w:type="dxa"/>
          </w:tcPr>
          <w:p w:rsidR="00637E90" w:rsidRPr="00637E90" w:rsidRDefault="00637E90" w:rsidP="00637E90">
            <w:pPr>
              <w:spacing w:before="100" w:beforeAutospacing="1" w:after="100" w:afterAutospacing="1" w:line="240" w:lineRule="auto"/>
              <w:outlineLvl w:val="0"/>
              <w:rPr>
                <w:rFonts w:ascii="Times New Roman" w:eastAsia="Times New Roman" w:hAnsi="Times New Roman"/>
                <w:b/>
                <w:bCs/>
                <w:sz w:val="27"/>
                <w:szCs w:val="27"/>
                <w:lang w:eastAsia="de-DE"/>
              </w:rPr>
            </w:pPr>
            <w:r w:rsidRPr="00637E90">
              <w:rPr>
                <w:rFonts w:ascii="Times New Roman" w:eastAsia="Times New Roman" w:hAnsi="Times New Roman"/>
                <w:b/>
                <w:bCs/>
                <w:sz w:val="27"/>
                <w:szCs w:val="27"/>
                <w:lang w:eastAsia="de-DE"/>
              </w:rPr>
              <w:t>§ 1 Berechnungsgrundlage</w:t>
            </w:r>
          </w:p>
          <w:p w:rsidR="003C0E77" w:rsidRDefault="00637E90" w:rsidP="003C0E77">
            <w:pPr>
              <w:spacing w:before="100" w:beforeAutospacing="1" w:after="100" w:afterAutospacing="1" w:line="240" w:lineRule="auto"/>
              <w:contextualSpacing/>
              <w:outlineLvl w:val="0"/>
            </w:pPr>
            <w:r>
              <w:t xml:space="preserve">5. Ein </w:t>
            </w:r>
            <w:proofErr w:type="spellStart"/>
            <w:r>
              <w:t>Vorschuß</w:t>
            </w:r>
            <w:proofErr w:type="spellEnd"/>
            <w:r>
              <w:t xml:space="preserve">, der von einer anderen Person als dem Schuldner zur Durchführung des Verfahrens geleistet worden ist, und ein </w:t>
            </w:r>
            <w:proofErr w:type="spellStart"/>
            <w:r>
              <w:t>Zuschuß</w:t>
            </w:r>
            <w:proofErr w:type="spellEnd"/>
            <w:r>
              <w:t>, den ein Dritter zur Erfüllung eines Insolvenzplans geleistet hat, bleiben außer Betracht.</w:t>
            </w:r>
          </w:p>
          <w:p w:rsidR="003C0E77" w:rsidRDefault="003C0E77" w:rsidP="003C0E77">
            <w:pPr>
              <w:spacing w:before="100" w:beforeAutospacing="1" w:after="100" w:afterAutospacing="1" w:line="240" w:lineRule="auto"/>
              <w:contextualSpacing/>
              <w:outlineLvl w:val="0"/>
            </w:pPr>
          </w:p>
          <w:p w:rsidR="003C0E77" w:rsidRDefault="003C0E77" w:rsidP="0055761B">
            <w:pPr>
              <w:spacing w:before="100" w:beforeAutospacing="1" w:after="100" w:afterAutospacing="1" w:line="240" w:lineRule="auto"/>
              <w:outlineLvl w:val="0"/>
              <w:rPr>
                <w:rFonts w:ascii="Times New Roman" w:eastAsia="Times New Roman" w:hAnsi="Times New Roman"/>
                <w:b/>
                <w:bCs/>
                <w:sz w:val="27"/>
                <w:szCs w:val="27"/>
                <w:lang w:eastAsia="de-DE"/>
              </w:rPr>
            </w:pPr>
          </w:p>
          <w:p w:rsidR="0055761B" w:rsidRDefault="0055761B" w:rsidP="0055761B">
            <w:pPr>
              <w:spacing w:before="100" w:beforeAutospacing="1" w:after="100" w:afterAutospacing="1" w:line="240" w:lineRule="auto"/>
              <w:outlineLvl w:val="0"/>
              <w:rPr>
                <w:rFonts w:ascii="Times New Roman" w:eastAsia="Times New Roman" w:hAnsi="Times New Roman"/>
                <w:b/>
                <w:bCs/>
                <w:sz w:val="27"/>
                <w:szCs w:val="27"/>
                <w:lang w:eastAsia="de-DE"/>
              </w:rPr>
            </w:pPr>
            <w:r w:rsidRPr="00B87A9D">
              <w:rPr>
                <w:rFonts w:ascii="Times New Roman" w:eastAsia="Times New Roman" w:hAnsi="Times New Roman"/>
                <w:b/>
                <w:bCs/>
                <w:sz w:val="27"/>
                <w:szCs w:val="27"/>
                <w:lang w:eastAsia="de-DE"/>
              </w:rPr>
              <w:t>§ 2</w:t>
            </w:r>
            <w:r w:rsidRPr="0055761B">
              <w:rPr>
                <w:rFonts w:ascii="Times New Roman" w:eastAsia="Times New Roman" w:hAnsi="Times New Roman"/>
                <w:b/>
                <w:bCs/>
                <w:sz w:val="27"/>
                <w:szCs w:val="27"/>
                <w:lang w:eastAsia="de-DE"/>
              </w:rPr>
              <w:t> </w:t>
            </w:r>
            <w:r w:rsidRPr="00B87A9D">
              <w:rPr>
                <w:rFonts w:ascii="Times New Roman" w:eastAsia="Times New Roman" w:hAnsi="Times New Roman"/>
                <w:b/>
                <w:bCs/>
                <w:sz w:val="27"/>
                <w:szCs w:val="27"/>
                <w:lang w:eastAsia="de-DE"/>
              </w:rPr>
              <w:t>Regelsätze</w:t>
            </w:r>
          </w:p>
          <w:p w:rsidR="00637C8E" w:rsidRPr="0055761B" w:rsidRDefault="00637C8E" w:rsidP="00637C8E">
            <w:pPr>
              <w:spacing w:after="0" w:line="240" w:lineRule="auto"/>
              <w:rPr>
                <w:rFonts w:ascii="Times New Roman" w:eastAsia="Times New Roman" w:hAnsi="Times New Roman"/>
                <w:sz w:val="24"/>
                <w:szCs w:val="24"/>
                <w:lang w:eastAsia="de-DE"/>
              </w:rPr>
            </w:pPr>
            <w:r w:rsidRPr="0055761B">
              <w:rPr>
                <w:rFonts w:ascii="Times New Roman" w:eastAsia="Times New Roman" w:hAnsi="Times New Roman"/>
                <w:sz w:val="24"/>
                <w:szCs w:val="24"/>
                <w:lang w:eastAsia="de-DE"/>
              </w:rPr>
              <w:t xml:space="preserve">1) Der Insolvenzverwalter erhält in der Regel </w:t>
            </w:r>
          </w:p>
          <w:p w:rsidR="00637C8E" w:rsidRDefault="00637C8E" w:rsidP="006B2F74">
            <w:pPr>
              <w:spacing w:after="0" w:line="240" w:lineRule="auto"/>
              <w:rPr>
                <w:rFonts w:ascii="Times New Roman" w:eastAsia="Times New Roman" w:hAnsi="Times New Roman"/>
                <w:b/>
                <w:bCs/>
                <w:kern w:val="36"/>
                <w:sz w:val="48"/>
                <w:szCs w:val="48"/>
                <w:lang w:eastAsia="de-DE"/>
              </w:rPr>
            </w:pPr>
          </w:p>
          <w:p w:rsidR="00637C8E" w:rsidRDefault="00637C8E" w:rsidP="006B2F74">
            <w:pPr>
              <w:spacing w:after="0" w:line="240" w:lineRule="auto"/>
              <w:rPr>
                <w:rStyle w:val="hdel"/>
              </w:rPr>
            </w:pPr>
            <w:r>
              <w:t xml:space="preserve">1. von den ersten </w:t>
            </w:r>
            <w:r>
              <w:rPr>
                <w:rStyle w:val="hdel"/>
              </w:rPr>
              <w:t xml:space="preserve">25.000 </w:t>
            </w:r>
            <w:r>
              <w:t xml:space="preserve">Euro der Insolvenzmasse 40 </w:t>
            </w:r>
            <w:r>
              <w:rPr>
                <w:rStyle w:val="hdel"/>
              </w:rPr>
              <w:t xml:space="preserve">vom Hundert, </w:t>
            </w:r>
            <w:r>
              <w:br/>
            </w:r>
            <w:r>
              <w:br/>
              <w:t xml:space="preserve">2. von dem Mehrbetrag bis zu </w:t>
            </w:r>
            <w:r>
              <w:rPr>
                <w:rStyle w:val="hdel"/>
              </w:rPr>
              <w:t xml:space="preserve">50.000 </w:t>
            </w:r>
            <w:r>
              <w:t xml:space="preserve">Euro </w:t>
            </w:r>
            <w:r>
              <w:rPr>
                <w:rStyle w:val="hdel"/>
              </w:rPr>
              <w:t xml:space="preserve">25 vom Hundert, </w:t>
            </w:r>
            <w:r>
              <w:br/>
            </w:r>
            <w:r>
              <w:br/>
              <w:t xml:space="preserve">3. von dem Mehrbetrag bis zu </w:t>
            </w:r>
            <w:r>
              <w:rPr>
                <w:rStyle w:val="hdel"/>
              </w:rPr>
              <w:t xml:space="preserve">250.000 </w:t>
            </w:r>
            <w:r w:rsidRPr="00B87A9D">
              <w:rPr>
                <w:rFonts w:ascii="Times New Roman" w:eastAsia="Times New Roman" w:hAnsi="Times New Roman"/>
                <w:b/>
                <w:bCs/>
                <w:sz w:val="27"/>
                <w:szCs w:val="27"/>
                <w:lang w:eastAsia="de-DE"/>
              </w:rPr>
              <w:t>Euro</w:t>
            </w:r>
            <w:r>
              <w:t xml:space="preserve"> </w:t>
            </w:r>
            <w:r>
              <w:rPr>
                <w:rStyle w:val="hdel"/>
              </w:rPr>
              <w:t xml:space="preserve">7 vom Hundert, </w:t>
            </w:r>
            <w:r>
              <w:br/>
            </w:r>
            <w:r>
              <w:br/>
              <w:t xml:space="preserve">4. von dem Mehrbetrag bis zu </w:t>
            </w:r>
            <w:r>
              <w:rPr>
                <w:rStyle w:val="hdel"/>
              </w:rPr>
              <w:t xml:space="preserve">500.000 </w:t>
            </w:r>
            <w:r>
              <w:t xml:space="preserve">Euro </w:t>
            </w:r>
            <w:r>
              <w:rPr>
                <w:rStyle w:val="hdel"/>
              </w:rPr>
              <w:t xml:space="preserve">3 vom Hundert, </w:t>
            </w:r>
            <w:r>
              <w:br/>
            </w:r>
            <w:r>
              <w:br/>
              <w:t xml:space="preserve">5. von dem Mehrbetrag bis zu </w:t>
            </w:r>
            <w:r>
              <w:rPr>
                <w:rStyle w:val="hdel"/>
              </w:rPr>
              <w:t xml:space="preserve">25.000.000 </w:t>
            </w:r>
            <w:r>
              <w:t xml:space="preserve">Euro </w:t>
            </w:r>
            <w:r>
              <w:rPr>
                <w:rStyle w:val="hdel"/>
              </w:rPr>
              <w:t xml:space="preserve">2 vom Hundert, </w:t>
            </w:r>
            <w:r>
              <w:br/>
            </w:r>
            <w:r>
              <w:br/>
              <w:t xml:space="preserve">6. von dem Mehrbetrag bis zu </w:t>
            </w:r>
            <w:r>
              <w:rPr>
                <w:rStyle w:val="hdel"/>
              </w:rPr>
              <w:t xml:space="preserve">50.000.000 </w:t>
            </w:r>
            <w:r>
              <w:t xml:space="preserve">Euro </w:t>
            </w:r>
            <w:r>
              <w:rPr>
                <w:rStyle w:val="hdel"/>
              </w:rPr>
              <w:t xml:space="preserve">1 vom Hundert, </w:t>
            </w:r>
            <w:r>
              <w:br/>
            </w:r>
            <w:r>
              <w:br/>
              <w:t xml:space="preserve">7. von dem darüber hinausgehenden Betrag </w:t>
            </w:r>
            <w:r>
              <w:rPr>
                <w:rStyle w:val="hdel"/>
              </w:rPr>
              <w:t xml:space="preserve">0,5 vom Hundert. </w:t>
            </w:r>
          </w:p>
          <w:p w:rsidR="00637C8E" w:rsidRDefault="00637C8E" w:rsidP="006B2F74">
            <w:pPr>
              <w:spacing w:after="0" w:line="240" w:lineRule="auto"/>
              <w:rPr>
                <w:rStyle w:val="hdel"/>
              </w:rPr>
            </w:pPr>
          </w:p>
          <w:p w:rsidR="00637C8E" w:rsidRDefault="00637C8E" w:rsidP="006B2F74">
            <w:pPr>
              <w:spacing w:after="0" w:line="240" w:lineRule="auto"/>
              <w:rPr>
                <w:rStyle w:val="hdel"/>
              </w:rPr>
            </w:pPr>
          </w:p>
          <w:p w:rsidR="00637C8E" w:rsidRDefault="00637C8E" w:rsidP="006B2F74">
            <w:pPr>
              <w:spacing w:after="0" w:line="240" w:lineRule="auto"/>
              <w:rPr>
                <w:rStyle w:val="hdel"/>
              </w:rPr>
            </w:pPr>
          </w:p>
          <w:p w:rsidR="00D84161" w:rsidRDefault="00637C8E" w:rsidP="006B2F74">
            <w:pPr>
              <w:spacing w:after="0" w:line="240" w:lineRule="auto"/>
              <w:rPr>
                <w:rFonts w:ascii="Arial" w:hAnsi="Arial" w:cs="Arial"/>
                <w:sz w:val="48"/>
                <w:szCs w:val="48"/>
              </w:rPr>
            </w:pPr>
            <w:r>
              <w:lastRenderedPageBreak/>
              <w:br/>
              <w:t xml:space="preserve">(2) </w:t>
            </w:r>
            <w:r>
              <w:rPr>
                <w:rStyle w:val="satz"/>
              </w:rPr>
              <w:t>1</w:t>
            </w:r>
            <w:r>
              <w:t xml:space="preserve"> Haben in dem Verfahren nicht mehr als 10 Gläubiger ihre Forderungen angemeldet, so soll die Vergütung in der Regel mindestens </w:t>
            </w:r>
            <w:r>
              <w:rPr>
                <w:rStyle w:val="hdel"/>
              </w:rPr>
              <w:t xml:space="preserve">1.000 </w:t>
            </w:r>
            <w:r>
              <w:t xml:space="preserve">Euro betragen. </w:t>
            </w:r>
            <w:r>
              <w:rPr>
                <w:rStyle w:val="satz"/>
              </w:rPr>
              <w:t>2</w:t>
            </w:r>
            <w:r>
              <w:t xml:space="preserve"> Von 11 bis zu 30 Gläubigern erhöht sich die Vergütung für je angefangene 5 Gläubiger um </w:t>
            </w:r>
            <w:r>
              <w:rPr>
                <w:rStyle w:val="hdel"/>
              </w:rPr>
              <w:t xml:space="preserve">150 </w:t>
            </w:r>
            <w:r>
              <w:t xml:space="preserve">Euro. </w:t>
            </w:r>
            <w:r>
              <w:rPr>
                <w:rStyle w:val="satz"/>
              </w:rPr>
              <w:t>3</w:t>
            </w:r>
            <w:r>
              <w:t xml:space="preserve"> Ab 31 Gläubiger erhöht sich die Vergütung je angefangene 5 Gläubiger um </w:t>
            </w:r>
            <w:r>
              <w:rPr>
                <w:rStyle w:val="hdel"/>
              </w:rPr>
              <w:t xml:space="preserve">100 </w:t>
            </w:r>
            <w:r>
              <w:t>Euro.</w:t>
            </w:r>
          </w:p>
          <w:p w:rsidR="009B7616" w:rsidRDefault="009B7616" w:rsidP="006B2F74">
            <w:pPr>
              <w:spacing w:after="0" w:line="240" w:lineRule="auto"/>
              <w:rPr>
                <w:rFonts w:ascii="Arial" w:hAnsi="Arial" w:cs="Arial"/>
                <w:sz w:val="48"/>
                <w:szCs w:val="48"/>
              </w:rPr>
            </w:pPr>
          </w:p>
          <w:p w:rsidR="008A4874" w:rsidRDefault="008A4874" w:rsidP="006B2F74">
            <w:pPr>
              <w:spacing w:after="0" w:line="240" w:lineRule="auto"/>
            </w:pPr>
          </w:p>
          <w:p w:rsidR="008A4874" w:rsidRDefault="008A4874" w:rsidP="008A4874">
            <w:pPr>
              <w:spacing w:before="100" w:beforeAutospacing="1" w:after="100" w:afterAutospacing="1" w:line="240" w:lineRule="auto"/>
              <w:outlineLvl w:val="0"/>
              <w:rPr>
                <w:rFonts w:ascii="Times New Roman" w:eastAsia="Times New Roman" w:hAnsi="Times New Roman"/>
                <w:b/>
                <w:bCs/>
                <w:sz w:val="27"/>
                <w:szCs w:val="27"/>
                <w:lang w:eastAsia="de-DE"/>
              </w:rPr>
            </w:pPr>
            <w:r w:rsidRPr="008A4874">
              <w:rPr>
                <w:rFonts w:ascii="Times New Roman" w:eastAsia="Times New Roman" w:hAnsi="Times New Roman"/>
                <w:b/>
                <w:bCs/>
                <w:sz w:val="27"/>
                <w:szCs w:val="27"/>
                <w:lang w:eastAsia="de-DE"/>
              </w:rPr>
              <w:t>§ 4 Geschäftskosten, Haftpflichtversicherung</w:t>
            </w:r>
          </w:p>
          <w:p w:rsidR="00B87A9D" w:rsidRDefault="008A4874" w:rsidP="006B2F74">
            <w:pPr>
              <w:spacing w:after="0" w:line="240" w:lineRule="auto"/>
            </w:pPr>
            <w:r>
              <w:t xml:space="preserve">2) Besondere Kosten, die dem Verwalter im Einzelfall, zum Beispiel durch Reisen, tatsächlich entstehen, sind als Auslagen zu erstatten. </w:t>
            </w:r>
            <w:r>
              <w:br/>
            </w:r>
          </w:p>
          <w:p w:rsidR="00B87A9D" w:rsidRDefault="00B87A9D" w:rsidP="006B2F74">
            <w:pPr>
              <w:spacing w:after="0" w:line="240" w:lineRule="auto"/>
            </w:pPr>
          </w:p>
          <w:p w:rsidR="00B87A9D" w:rsidRDefault="00B87A9D" w:rsidP="006B2F74">
            <w:pPr>
              <w:spacing w:after="0" w:line="240" w:lineRule="auto"/>
            </w:pPr>
          </w:p>
          <w:p w:rsidR="00D84161" w:rsidRDefault="008A4874" w:rsidP="006B2F74">
            <w:pPr>
              <w:spacing w:after="0" w:line="240" w:lineRule="auto"/>
              <w:rPr>
                <w:rFonts w:ascii="Arial" w:hAnsi="Arial" w:cs="Arial"/>
                <w:sz w:val="48"/>
                <w:szCs w:val="48"/>
              </w:rPr>
            </w:pPr>
            <w:r>
              <w:br/>
              <w:t xml:space="preserve">(3) </w:t>
            </w:r>
            <w:r>
              <w:rPr>
                <w:rStyle w:val="satz"/>
                <w:color w:val="000000"/>
              </w:rPr>
              <w:t>1</w:t>
            </w:r>
            <w:r>
              <w:t xml:space="preserve"> Mit der Vergütung sind auch die Kosten einer Haftpflichtversicherung abgegolten. </w:t>
            </w:r>
            <w:r>
              <w:rPr>
                <w:rStyle w:val="satz"/>
                <w:color w:val="000000"/>
              </w:rPr>
              <w:t>2</w:t>
            </w:r>
            <w:r>
              <w:t xml:space="preserve"> Ist die Verwaltung </w:t>
            </w:r>
            <w:r>
              <w:rPr>
                <w:rStyle w:val="hdel"/>
              </w:rPr>
              <w:t xml:space="preserve">jedoch </w:t>
            </w:r>
            <w:r>
              <w:t xml:space="preserve">mit einem </w:t>
            </w:r>
            <w:r>
              <w:rPr>
                <w:rStyle w:val="hdel"/>
              </w:rPr>
              <w:t xml:space="preserve">besonderen </w:t>
            </w:r>
            <w:r>
              <w:t xml:space="preserve">Haftungsrisiko verbunden, so sind die Kosten einer </w:t>
            </w:r>
            <w:r>
              <w:rPr>
                <w:rStyle w:val="hdel"/>
              </w:rPr>
              <w:t xml:space="preserve">angemessenen zusätzlichen </w:t>
            </w:r>
            <w:r>
              <w:t>Versicherung als Auslagen zu erstatten.</w:t>
            </w:r>
          </w:p>
          <w:p w:rsidR="00D84161" w:rsidRDefault="00D84161" w:rsidP="006B2F74">
            <w:pPr>
              <w:spacing w:after="0" w:line="240" w:lineRule="auto"/>
              <w:rPr>
                <w:rFonts w:ascii="Arial" w:hAnsi="Arial" w:cs="Arial"/>
                <w:sz w:val="48"/>
                <w:szCs w:val="48"/>
              </w:rPr>
            </w:pPr>
          </w:p>
          <w:p w:rsidR="00D84161" w:rsidRDefault="00D84161" w:rsidP="006B2F74">
            <w:pPr>
              <w:spacing w:after="0" w:line="240" w:lineRule="auto"/>
              <w:rPr>
                <w:rFonts w:ascii="Arial" w:hAnsi="Arial" w:cs="Arial"/>
                <w:sz w:val="48"/>
                <w:szCs w:val="48"/>
              </w:rPr>
            </w:pPr>
          </w:p>
          <w:p w:rsidR="00B87A9D" w:rsidRPr="00B87A9D" w:rsidRDefault="00B87A9D" w:rsidP="00B87A9D">
            <w:pPr>
              <w:spacing w:before="100" w:beforeAutospacing="1" w:after="100" w:afterAutospacing="1" w:line="240" w:lineRule="auto"/>
              <w:outlineLvl w:val="2"/>
              <w:rPr>
                <w:rFonts w:ascii="Times New Roman" w:eastAsia="Times New Roman" w:hAnsi="Times New Roman"/>
                <w:b/>
                <w:bCs/>
                <w:sz w:val="27"/>
                <w:szCs w:val="27"/>
                <w:lang w:eastAsia="de-DE"/>
              </w:rPr>
            </w:pPr>
            <w:r w:rsidRPr="00B87A9D">
              <w:rPr>
                <w:rFonts w:ascii="Times New Roman" w:eastAsia="Times New Roman" w:hAnsi="Times New Roman"/>
                <w:b/>
                <w:bCs/>
                <w:sz w:val="27"/>
                <w:szCs w:val="27"/>
                <w:lang w:eastAsia="de-DE"/>
              </w:rPr>
              <w:t xml:space="preserve">§ 8 Festsetzung von Vergütung und Auslagen </w:t>
            </w:r>
          </w:p>
          <w:p w:rsidR="00D84161" w:rsidRDefault="00B87A9D" w:rsidP="006B2F74">
            <w:pPr>
              <w:spacing w:after="0" w:line="240" w:lineRule="auto"/>
              <w:rPr>
                <w:rFonts w:ascii="Arial" w:hAnsi="Arial" w:cs="Arial"/>
                <w:sz w:val="48"/>
                <w:szCs w:val="48"/>
              </w:rPr>
            </w:pPr>
            <w:r>
              <w:t xml:space="preserve">3) </w:t>
            </w:r>
            <w:r>
              <w:rPr>
                <w:rStyle w:val="satz"/>
                <w:color w:val="000000"/>
              </w:rPr>
              <w:t>1</w:t>
            </w:r>
            <w:r>
              <w:t xml:space="preserve"> Der Verwalter kann nach seiner Wahl anstelle der tatsächlich entstandenen Auslagen einen Pauschsatz fordern, der im ersten Jahr 15 vom Hundert, danach 10 vom Hundert der Regelvergütung, höchstens jedoch </w:t>
            </w:r>
            <w:r>
              <w:rPr>
                <w:rStyle w:val="hdel"/>
              </w:rPr>
              <w:t xml:space="preserve">250 </w:t>
            </w:r>
            <w:r>
              <w:lastRenderedPageBreak/>
              <w:t xml:space="preserve">Euro je angefangenen Monat der Dauer der Tätigkeit des Verwalters beträgt. </w:t>
            </w:r>
            <w:r>
              <w:rPr>
                <w:rStyle w:val="satz"/>
                <w:color w:val="000000"/>
              </w:rPr>
              <w:t>2</w:t>
            </w:r>
            <w:r>
              <w:t xml:space="preserve"> Der Pauschsatz darf 30 vom Hundert der Regelvergütung nicht übersteigen.</w:t>
            </w:r>
          </w:p>
          <w:p w:rsidR="00D84161" w:rsidRDefault="00D84161" w:rsidP="006B2F74">
            <w:pPr>
              <w:spacing w:after="0" w:line="240" w:lineRule="auto"/>
              <w:rPr>
                <w:rFonts w:ascii="Arial" w:hAnsi="Arial" w:cs="Arial"/>
                <w:sz w:val="48"/>
                <w:szCs w:val="48"/>
              </w:rPr>
            </w:pPr>
          </w:p>
          <w:p w:rsidR="00867B79" w:rsidRPr="00867B79" w:rsidRDefault="00867B79" w:rsidP="00867B79">
            <w:pPr>
              <w:spacing w:before="100" w:beforeAutospacing="1" w:after="100" w:afterAutospacing="1" w:line="240" w:lineRule="auto"/>
              <w:outlineLvl w:val="2"/>
              <w:rPr>
                <w:rFonts w:ascii="Times New Roman" w:eastAsia="Times New Roman" w:hAnsi="Times New Roman"/>
                <w:b/>
                <w:bCs/>
                <w:sz w:val="27"/>
                <w:szCs w:val="27"/>
                <w:lang w:eastAsia="de-DE"/>
              </w:rPr>
            </w:pPr>
            <w:r w:rsidRPr="00867B79">
              <w:rPr>
                <w:rFonts w:ascii="Times New Roman" w:eastAsia="Times New Roman" w:hAnsi="Times New Roman"/>
                <w:b/>
                <w:bCs/>
                <w:sz w:val="27"/>
                <w:szCs w:val="27"/>
                <w:lang w:eastAsia="de-DE"/>
              </w:rPr>
              <w:t>§ 10 Grundsatz</w:t>
            </w:r>
          </w:p>
          <w:p w:rsidR="00D84161" w:rsidRDefault="00D84161" w:rsidP="006B2F74">
            <w:pPr>
              <w:spacing w:after="0" w:line="240" w:lineRule="auto"/>
              <w:rPr>
                <w:rFonts w:ascii="Arial" w:hAnsi="Arial" w:cs="Arial"/>
                <w:sz w:val="48"/>
                <w:szCs w:val="48"/>
              </w:rPr>
            </w:pPr>
          </w:p>
          <w:p w:rsidR="00D84161" w:rsidRDefault="00867B79" w:rsidP="006B2F74">
            <w:pPr>
              <w:spacing w:after="0" w:line="240" w:lineRule="auto"/>
            </w:pPr>
            <w:r>
              <w:t>Für die Vergütung des vorläufigen Insolvenzverwalters, des Sachwalters und des Insolvenzverwalters im Verbraucherinsolvenzverfahren gelten die Vorschriften des Ersten Abschnitts entsprechend, soweit in den §§ 11 bis 13 nichts anderes bestimmt ist.</w:t>
            </w:r>
          </w:p>
          <w:p w:rsidR="00BC3AA1" w:rsidRDefault="00BC3AA1" w:rsidP="006B2F74">
            <w:pPr>
              <w:spacing w:after="0" w:line="240" w:lineRule="auto"/>
            </w:pPr>
          </w:p>
          <w:p w:rsidR="00BC3AA1" w:rsidRPr="00BC3AA1" w:rsidRDefault="00BC3AA1" w:rsidP="00BC3AA1">
            <w:pPr>
              <w:spacing w:before="100" w:beforeAutospacing="1" w:after="100" w:afterAutospacing="1" w:line="240" w:lineRule="auto"/>
              <w:outlineLvl w:val="2"/>
              <w:rPr>
                <w:rFonts w:ascii="Times New Roman" w:eastAsia="Times New Roman" w:hAnsi="Times New Roman"/>
                <w:b/>
                <w:bCs/>
                <w:sz w:val="27"/>
                <w:szCs w:val="27"/>
                <w:lang w:eastAsia="de-DE"/>
              </w:rPr>
            </w:pPr>
            <w:r w:rsidRPr="00BC3AA1">
              <w:rPr>
                <w:rFonts w:ascii="Times New Roman" w:eastAsia="Times New Roman" w:hAnsi="Times New Roman"/>
                <w:b/>
                <w:bCs/>
                <w:sz w:val="27"/>
                <w:szCs w:val="27"/>
                <w:lang w:eastAsia="de-DE"/>
              </w:rPr>
              <w:t xml:space="preserve">§ 12 Vergütung des Sachwalters </w:t>
            </w:r>
          </w:p>
          <w:p w:rsidR="00BC3AA1" w:rsidRDefault="00BC3AA1" w:rsidP="006B2F74">
            <w:pPr>
              <w:spacing w:after="0" w:line="240" w:lineRule="auto"/>
              <w:rPr>
                <w:rFonts w:ascii="Arial" w:hAnsi="Arial" w:cs="Arial"/>
                <w:sz w:val="48"/>
                <w:szCs w:val="48"/>
              </w:rPr>
            </w:pPr>
            <w:r>
              <w:t xml:space="preserve">(3) § 8 Abs. 3 gilt mit der Maßgabe, </w:t>
            </w:r>
            <w:proofErr w:type="spellStart"/>
            <w:r>
              <w:t>daß</w:t>
            </w:r>
            <w:proofErr w:type="spellEnd"/>
            <w:r>
              <w:t xml:space="preserve"> an die Stelle des Betrags von </w:t>
            </w:r>
            <w:r>
              <w:rPr>
                <w:rStyle w:val="hdel"/>
              </w:rPr>
              <w:t xml:space="preserve">250 </w:t>
            </w:r>
            <w:r>
              <w:t xml:space="preserve">Euro der Betrag von </w:t>
            </w:r>
            <w:r>
              <w:rPr>
                <w:rStyle w:val="hdel"/>
              </w:rPr>
              <w:t xml:space="preserve">125 </w:t>
            </w:r>
            <w:r>
              <w:t>Euro tritt.</w:t>
            </w:r>
          </w:p>
          <w:p w:rsidR="00D84161" w:rsidRDefault="00D84161" w:rsidP="006B2F74">
            <w:pPr>
              <w:spacing w:after="0" w:line="240" w:lineRule="auto"/>
              <w:rPr>
                <w:rFonts w:ascii="Arial" w:hAnsi="Arial" w:cs="Arial"/>
                <w:sz w:val="48"/>
                <w:szCs w:val="48"/>
              </w:rPr>
            </w:pPr>
          </w:p>
          <w:p w:rsidR="00AC059D" w:rsidRDefault="00AC059D" w:rsidP="006B2F74">
            <w:pPr>
              <w:spacing w:after="0" w:line="240" w:lineRule="auto"/>
              <w:rPr>
                <w:rFonts w:ascii="Arial" w:hAnsi="Arial" w:cs="Arial"/>
                <w:sz w:val="48"/>
                <w:szCs w:val="48"/>
              </w:rPr>
            </w:pPr>
          </w:p>
          <w:p w:rsidR="00AC059D" w:rsidRDefault="00AC059D" w:rsidP="006B2F74">
            <w:pPr>
              <w:spacing w:after="0" w:line="240" w:lineRule="auto"/>
              <w:rPr>
                <w:rFonts w:ascii="Arial" w:hAnsi="Arial" w:cs="Arial"/>
                <w:sz w:val="48"/>
                <w:szCs w:val="48"/>
              </w:rPr>
            </w:pPr>
          </w:p>
          <w:p w:rsidR="00AC059D" w:rsidRDefault="00AC059D" w:rsidP="006B2F74">
            <w:pPr>
              <w:spacing w:after="0" w:line="240" w:lineRule="auto"/>
              <w:rPr>
                <w:rFonts w:ascii="Arial" w:hAnsi="Arial" w:cs="Arial"/>
                <w:sz w:val="48"/>
                <w:szCs w:val="48"/>
              </w:rPr>
            </w:pPr>
          </w:p>
          <w:p w:rsidR="00AC059D" w:rsidRDefault="00AC059D" w:rsidP="006B2F74">
            <w:pPr>
              <w:spacing w:after="0" w:line="240" w:lineRule="auto"/>
              <w:rPr>
                <w:rFonts w:ascii="Arial" w:hAnsi="Arial" w:cs="Arial"/>
                <w:sz w:val="48"/>
                <w:szCs w:val="48"/>
              </w:rPr>
            </w:pPr>
          </w:p>
          <w:p w:rsidR="00AC059D" w:rsidRDefault="00AC059D" w:rsidP="006B2F74">
            <w:pPr>
              <w:spacing w:after="0" w:line="240" w:lineRule="auto"/>
              <w:rPr>
                <w:rFonts w:ascii="Arial" w:hAnsi="Arial" w:cs="Arial"/>
                <w:sz w:val="48"/>
                <w:szCs w:val="48"/>
              </w:rPr>
            </w:pPr>
          </w:p>
          <w:p w:rsidR="00AC059D" w:rsidRDefault="00AC059D" w:rsidP="006B2F74">
            <w:pPr>
              <w:spacing w:after="0" w:line="240" w:lineRule="auto"/>
              <w:rPr>
                <w:rFonts w:ascii="Arial" w:hAnsi="Arial" w:cs="Arial"/>
                <w:sz w:val="48"/>
                <w:szCs w:val="48"/>
              </w:rPr>
            </w:pPr>
          </w:p>
          <w:p w:rsidR="00AC059D" w:rsidRDefault="00AC059D" w:rsidP="006B2F74">
            <w:pPr>
              <w:spacing w:after="0" w:line="240" w:lineRule="auto"/>
              <w:rPr>
                <w:rFonts w:ascii="Arial" w:hAnsi="Arial" w:cs="Arial"/>
                <w:sz w:val="48"/>
                <w:szCs w:val="48"/>
              </w:rPr>
            </w:pPr>
          </w:p>
          <w:p w:rsidR="00AC059D" w:rsidRDefault="00AC059D" w:rsidP="006B2F74">
            <w:pPr>
              <w:spacing w:after="0" w:line="240" w:lineRule="auto"/>
              <w:rPr>
                <w:rFonts w:ascii="Arial" w:hAnsi="Arial" w:cs="Arial"/>
                <w:sz w:val="48"/>
                <w:szCs w:val="48"/>
              </w:rPr>
            </w:pPr>
          </w:p>
          <w:p w:rsidR="00AC059D" w:rsidRDefault="00AC059D" w:rsidP="006B2F74">
            <w:pPr>
              <w:spacing w:after="0" w:line="240" w:lineRule="auto"/>
              <w:rPr>
                <w:rFonts w:ascii="Arial" w:hAnsi="Arial" w:cs="Arial"/>
                <w:sz w:val="48"/>
                <w:szCs w:val="48"/>
              </w:rPr>
            </w:pPr>
          </w:p>
          <w:p w:rsidR="00AC059D" w:rsidRDefault="00AC059D" w:rsidP="006B2F74">
            <w:pPr>
              <w:spacing w:after="0" w:line="240" w:lineRule="auto"/>
              <w:rPr>
                <w:rFonts w:ascii="Arial" w:hAnsi="Arial" w:cs="Arial"/>
                <w:sz w:val="48"/>
                <w:szCs w:val="48"/>
              </w:rPr>
            </w:pPr>
          </w:p>
          <w:p w:rsidR="00AC059D" w:rsidRDefault="00AC059D" w:rsidP="006B2F74">
            <w:pPr>
              <w:spacing w:after="0" w:line="240" w:lineRule="auto"/>
              <w:rPr>
                <w:rFonts w:ascii="Arial" w:hAnsi="Arial" w:cs="Arial"/>
                <w:sz w:val="48"/>
                <w:szCs w:val="48"/>
              </w:rPr>
            </w:pPr>
          </w:p>
          <w:p w:rsidR="00AC059D" w:rsidRDefault="00AC059D" w:rsidP="006B2F74">
            <w:pPr>
              <w:spacing w:after="0" w:line="240" w:lineRule="auto"/>
              <w:rPr>
                <w:rFonts w:ascii="Arial" w:hAnsi="Arial" w:cs="Arial"/>
                <w:sz w:val="48"/>
                <w:szCs w:val="48"/>
              </w:rPr>
            </w:pPr>
          </w:p>
          <w:p w:rsidR="00AC059D" w:rsidRDefault="00AC059D" w:rsidP="006B2F74">
            <w:pPr>
              <w:spacing w:after="0" w:line="240" w:lineRule="auto"/>
              <w:rPr>
                <w:rFonts w:ascii="Arial" w:hAnsi="Arial" w:cs="Arial"/>
                <w:sz w:val="48"/>
                <w:szCs w:val="48"/>
              </w:rPr>
            </w:pPr>
          </w:p>
          <w:p w:rsidR="00566555" w:rsidRDefault="00566555" w:rsidP="006B2F74">
            <w:pPr>
              <w:spacing w:after="0" w:line="240" w:lineRule="auto"/>
              <w:rPr>
                <w:rFonts w:ascii="Arial" w:hAnsi="Arial" w:cs="Arial"/>
                <w:sz w:val="48"/>
                <w:szCs w:val="48"/>
              </w:rPr>
            </w:pPr>
          </w:p>
          <w:p w:rsidR="00566555" w:rsidRDefault="00566555" w:rsidP="006B2F74">
            <w:pPr>
              <w:spacing w:after="0" w:line="240" w:lineRule="auto"/>
              <w:rPr>
                <w:rFonts w:ascii="Arial" w:hAnsi="Arial" w:cs="Arial"/>
                <w:sz w:val="48"/>
                <w:szCs w:val="48"/>
              </w:rPr>
            </w:pPr>
          </w:p>
          <w:p w:rsidR="003C0E77" w:rsidRDefault="003C0E77" w:rsidP="00BC3AA1">
            <w:pPr>
              <w:spacing w:before="100" w:beforeAutospacing="1" w:after="100" w:afterAutospacing="1" w:line="240" w:lineRule="auto"/>
              <w:outlineLvl w:val="2"/>
              <w:rPr>
                <w:rFonts w:ascii="Times New Roman" w:eastAsia="Times New Roman" w:hAnsi="Times New Roman"/>
                <w:b/>
                <w:bCs/>
                <w:sz w:val="27"/>
                <w:szCs w:val="27"/>
                <w:lang w:eastAsia="de-DE"/>
              </w:rPr>
            </w:pPr>
          </w:p>
          <w:p w:rsidR="009B7616" w:rsidRDefault="009B7616" w:rsidP="00BC3AA1">
            <w:pPr>
              <w:spacing w:before="100" w:beforeAutospacing="1" w:after="100" w:afterAutospacing="1" w:line="240" w:lineRule="auto"/>
              <w:outlineLvl w:val="2"/>
              <w:rPr>
                <w:rFonts w:ascii="Times New Roman" w:eastAsia="Times New Roman" w:hAnsi="Times New Roman"/>
                <w:b/>
                <w:bCs/>
                <w:sz w:val="27"/>
                <w:szCs w:val="27"/>
                <w:lang w:eastAsia="de-DE"/>
              </w:rPr>
            </w:pPr>
          </w:p>
          <w:p w:rsidR="00566555" w:rsidRDefault="00566555" w:rsidP="00BC3AA1">
            <w:pPr>
              <w:spacing w:before="100" w:beforeAutospacing="1" w:after="100" w:afterAutospacing="1" w:line="240" w:lineRule="auto"/>
              <w:outlineLvl w:val="2"/>
              <w:rPr>
                <w:rFonts w:ascii="Times New Roman" w:eastAsia="Times New Roman" w:hAnsi="Times New Roman"/>
                <w:b/>
                <w:bCs/>
                <w:sz w:val="27"/>
                <w:szCs w:val="27"/>
                <w:lang w:eastAsia="de-DE"/>
              </w:rPr>
            </w:pPr>
          </w:p>
          <w:p w:rsidR="00566555" w:rsidRDefault="00566555" w:rsidP="00BC3AA1">
            <w:pPr>
              <w:spacing w:before="100" w:beforeAutospacing="1" w:after="100" w:afterAutospacing="1" w:line="240" w:lineRule="auto"/>
              <w:outlineLvl w:val="2"/>
              <w:rPr>
                <w:rFonts w:ascii="Times New Roman" w:eastAsia="Times New Roman" w:hAnsi="Times New Roman"/>
                <w:b/>
                <w:bCs/>
                <w:sz w:val="27"/>
                <w:szCs w:val="27"/>
                <w:lang w:eastAsia="de-DE"/>
              </w:rPr>
            </w:pPr>
          </w:p>
          <w:p w:rsidR="003C0E77" w:rsidRDefault="003C0E77" w:rsidP="00BC3AA1">
            <w:pPr>
              <w:spacing w:before="100" w:beforeAutospacing="1" w:after="100" w:afterAutospacing="1" w:line="240" w:lineRule="auto"/>
              <w:outlineLvl w:val="2"/>
              <w:rPr>
                <w:rFonts w:ascii="Times New Roman" w:eastAsia="Times New Roman" w:hAnsi="Times New Roman"/>
                <w:b/>
                <w:bCs/>
                <w:sz w:val="27"/>
                <w:szCs w:val="27"/>
                <w:lang w:eastAsia="de-DE"/>
              </w:rPr>
            </w:pPr>
          </w:p>
          <w:p w:rsidR="00BC3AA1" w:rsidRPr="00BC3AA1" w:rsidRDefault="00BC3AA1" w:rsidP="00BC3AA1">
            <w:pPr>
              <w:spacing w:before="100" w:beforeAutospacing="1" w:after="100" w:afterAutospacing="1" w:line="240" w:lineRule="auto"/>
              <w:outlineLvl w:val="2"/>
              <w:rPr>
                <w:rFonts w:ascii="Times New Roman" w:eastAsia="Times New Roman" w:hAnsi="Times New Roman"/>
                <w:b/>
                <w:bCs/>
                <w:sz w:val="27"/>
                <w:szCs w:val="27"/>
                <w:lang w:eastAsia="de-DE"/>
              </w:rPr>
            </w:pPr>
            <w:r w:rsidRPr="00BC3AA1">
              <w:rPr>
                <w:rFonts w:ascii="Times New Roman" w:eastAsia="Times New Roman" w:hAnsi="Times New Roman"/>
                <w:b/>
                <w:bCs/>
                <w:sz w:val="27"/>
                <w:szCs w:val="27"/>
                <w:lang w:eastAsia="de-DE"/>
              </w:rPr>
              <w:lastRenderedPageBreak/>
              <w:t xml:space="preserve">§ 13 Vergütung des Insolvenzverwalters im Verbraucherinsolvenzverfahren </w:t>
            </w:r>
          </w:p>
          <w:p w:rsidR="00D84161" w:rsidRDefault="00BC3AA1" w:rsidP="006B2F74">
            <w:pPr>
              <w:spacing w:after="0" w:line="240" w:lineRule="auto"/>
              <w:rPr>
                <w:rFonts w:ascii="Arial" w:hAnsi="Arial" w:cs="Arial"/>
                <w:sz w:val="48"/>
                <w:szCs w:val="48"/>
              </w:rPr>
            </w:pPr>
            <w:r>
              <w:t xml:space="preserve">Werden in einem Verfahren nach dem Neunten Teil der Insolvenzordnung die Unterlagen nach § 305 Absatz 1 Nummer 3 der Insolvenzordnung von einer geeigneten Person oder Stelle erstellt, ermäßigt sich die Vergütung nach § 2 Absatz 2 Satz 1 auf </w:t>
            </w:r>
            <w:r>
              <w:rPr>
                <w:rStyle w:val="hdel"/>
              </w:rPr>
              <w:t xml:space="preserve">800 </w:t>
            </w:r>
            <w:r>
              <w:t>Euro.</w:t>
            </w:r>
          </w:p>
          <w:p w:rsidR="00392CDE" w:rsidRDefault="00392CDE" w:rsidP="002F1983">
            <w:pPr>
              <w:spacing w:before="100" w:beforeAutospacing="1" w:after="100" w:afterAutospacing="1" w:line="240" w:lineRule="auto"/>
              <w:outlineLvl w:val="2"/>
              <w:rPr>
                <w:rFonts w:ascii="Times New Roman" w:eastAsia="Times New Roman" w:hAnsi="Times New Roman"/>
                <w:b/>
                <w:bCs/>
                <w:sz w:val="27"/>
                <w:szCs w:val="27"/>
                <w:lang w:eastAsia="de-DE"/>
              </w:rPr>
            </w:pPr>
          </w:p>
          <w:p w:rsidR="002F1983" w:rsidRPr="002F1983" w:rsidRDefault="002F1983" w:rsidP="002F1983">
            <w:pPr>
              <w:spacing w:before="100" w:beforeAutospacing="1" w:after="100" w:afterAutospacing="1" w:line="240" w:lineRule="auto"/>
              <w:outlineLvl w:val="2"/>
              <w:rPr>
                <w:rFonts w:ascii="Times New Roman" w:eastAsia="Times New Roman" w:hAnsi="Times New Roman"/>
                <w:b/>
                <w:bCs/>
                <w:sz w:val="27"/>
                <w:szCs w:val="27"/>
                <w:lang w:eastAsia="de-DE"/>
              </w:rPr>
            </w:pPr>
            <w:r w:rsidRPr="002F1983">
              <w:rPr>
                <w:rFonts w:ascii="Times New Roman" w:eastAsia="Times New Roman" w:hAnsi="Times New Roman"/>
                <w:b/>
                <w:bCs/>
                <w:sz w:val="27"/>
                <w:szCs w:val="27"/>
                <w:lang w:eastAsia="de-DE"/>
              </w:rPr>
              <w:t xml:space="preserve">§ 14 Grundsatz </w:t>
            </w:r>
          </w:p>
          <w:p w:rsidR="00D84161" w:rsidRDefault="002F1983" w:rsidP="006B2F74">
            <w:pPr>
              <w:spacing w:after="0" w:line="240" w:lineRule="auto"/>
            </w:pPr>
            <w:r>
              <w:t>(2) Der Treuhänder erhält</w:t>
            </w:r>
          </w:p>
          <w:p w:rsidR="002F1983" w:rsidRDefault="002F1983" w:rsidP="006B2F74">
            <w:pPr>
              <w:spacing w:after="0" w:line="240" w:lineRule="auto"/>
            </w:pPr>
          </w:p>
          <w:p w:rsidR="002F1983" w:rsidRDefault="002F1983" w:rsidP="006B2F74">
            <w:pPr>
              <w:spacing w:after="0" w:line="240" w:lineRule="auto"/>
            </w:pPr>
            <w:r>
              <w:t xml:space="preserve">1. von den ersten </w:t>
            </w:r>
            <w:r>
              <w:rPr>
                <w:rStyle w:val="hdel"/>
              </w:rPr>
              <w:t xml:space="preserve">25.000 </w:t>
            </w:r>
            <w:r>
              <w:t xml:space="preserve">Euro 5 vom Hundert, </w:t>
            </w:r>
            <w:r>
              <w:br/>
            </w:r>
            <w:r>
              <w:br/>
              <w:t xml:space="preserve">2. von dem Mehrbetrag bis </w:t>
            </w:r>
            <w:r>
              <w:rPr>
                <w:rStyle w:val="hdel"/>
              </w:rPr>
              <w:t xml:space="preserve">50.000 </w:t>
            </w:r>
            <w:r>
              <w:t>Euro 3 vom Hundert und</w:t>
            </w:r>
          </w:p>
          <w:p w:rsidR="002F1983" w:rsidRDefault="002F1983" w:rsidP="006B2F74">
            <w:pPr>
              <w:spacing w:after="0" w:line="240" w:lineRule="auto"/>
            </w:pPr>
          </w:p>
          <w:p w:rsidR="002F1983" w:rsidRDefault="002F1983" w:rsidP="006B2F74">
            <w:pPr>
              <w:spacing w:after="0" w:line="240" w:lineRule="auto"/>
            </w:pPr>
            <w:r>
              <w:t>3. von dem darüber hinausgehenden Betrag 1 vom Hundert.</w:t>
            </w:r>
          </w:p>
          <w:p w:rsidR="00392CDE" w:rsidRDefault="00392CDE" w:rsidP="006B2F74">
            <w:pPr>
              <w:spacing w:after="0" w:line="240" w:lineRule="auto"/>
            </w:pPr>
          </w:p>
          <w:p w:rsidR="00566555" w:rsidRDefault="00392CDE" w:rsidP="006B2F74">
            <w:pPr>
              <w:spacing w:after="0" w:line="240" w:lineRule="auto"/>
            </w:pPr>
            <w:r>
              <w:t xml:space="preserve">(3) </w:t>
            </w:r>
            <w:r>
              <w:rPr>
                <w:rStyle w:val="satz"/>
                <w:color w:val="000000"/>
              </w:rPr>
              <w:t>1</w:t>
            </w:r>
            <w:r>
              <w:t xml:space="preserve"> Die Vergütung beträgt mindestens </w:t>
            </w:r>
            <w:r>
              <w:rPr>
                <w:rStyle w:val="hdel"/>
              </w:rPr>
              <w:t xml:space="preserve">100 </w:t>
            </w:r>
            <w:r>
              <w:t xml:space="preserve">Euro für jedes Jahr der Tätigkeit des Treuhänders. </w:t>
            </w:r>
            <w:r>
              <w:rPr>
                <w:rStyle w:val="satz"/>
                <w:color w:val="000000"/>
              </w:rPr>
              <w:t>2</w:t>
            </w:r>
            <w:r>
              <w:t xml:space="preserve"> Hat er die durch Abtretung eingehenden Beträge an mehr als 5 Gläubiger verteilt, so erhöht sich diese Vergütung je 5 Gläubiger um </w:t>
            </w:r>
            <w:r>
              <w:rPr>
                <w:rStyle w:val="hdel"/>
              </w:rPr>
              <w:t xml:space="preserve">50 </w:t>
            </w:r>
            <w:r>
              <w:t>Euro.</w:t>
            </w:r>
          </w:p>
          <w:p w:rsidR="00334EC3" w:rsidRDefault="00334EC3" w:rsidP="00334EC3">
            <w:pPr>
              <w:pStyle w:val="berschrift3"/>
            </w:pPr>
            <w:r>
              <w:t xml:space="preserve">§ 15 Überwachung der Obliegenheiten des Schuldners </w:t>
            </w:r>
          </w:p>
          <w:p w:rsidR="00334EC3" w:rsidRDefault="00334EC3" w:rsidP="006B2F74">
            <w:pPr>
              <w:spacing w:after="0" w:line="240" w:lineRule="auto"/>
            </w:pPr>
            <w:r>
              <w:t xml:space="preserve">(1) </w:t>
            </w:r>
            <w:r>
              <w:rPr>
                <w:rStyle w:val="satz"/>
                <w:color w:val="000000"/>
              </w:rPr>
              <w:t>1</w:t>
            </w:r>
            <w:r>
              <w:t xml:space="preserve"> Hat der Treuhänder die Aufgabe, die Erfüllung der Obliegenheiten des Schuldners zu überwachen (§ 292 Abs. 2 der Insolvenzordnung), so erhält er eine zusätzliche Vergütung. </w:t>
            </w:r>
            <w:r>
              <w:rPr>
                <w:rStyle w:val="satz"/>
                <w:color w:val="000000"/>
              </w:rPr>
              <w:t>2</w:t>
            </w:r>
            <w:r>
              <w:t xml:space="preserve"> Diese beträgt regelmäßig </w:t>
            </w:r>
            <w:r>
              <w:rPr>
                <w:rStyle w:val="hdel"/>
              </w:rPr>
              <w:t xml:space="preserve">35 </w:t>
            </w:r>
            <w:r>
              <w:t>Euro je Stunde.</w:t>
            </w:r>
          </w:p>
          <w:p w:rsidR="00334EC3" w:rsidRDefault="00334EC3" w:rsidP="006B2F74">
            <w:pPr>
              <w:spacing w:after="0" w:line="240" w:lineRule="auto"/>
            </w:pPr>
          </w:p>
          <w:p w:rsidR="00334EC3" w:rsidRDefault="00334EC3" w:rsidP="00334EC3">
            <w:pPr>
              <w:pStyle w:val="berschrift3"/>
            </w:pPr>
            <w:r>
              <w:lastRenderedPageBreak/>
              <w:t xml:space="preserve">§ 17 Berechnung der Vergütung </w:t>
            </w:r>
          </w:p>
          <w:p w:rsidR="00334EC3" w:rsidRDefault="00334EC3" w:rsidP="006B2F74">
            <w:pPr>
              <w:spacing w:after="0" w:line="240" w:lineRule="auto"/>
            </w:pPr>
            <w:r>
              <w:t xml:space="preserve">(1) </w:t>
            </w:r>
            <w:r>
              <w:rPr>
                <w:rStyle w:val="satz"/>
                <w:color w:val="000000"/>
              </w:rPr>
              <w:t>1</w:t>
            </w:r>
            <w:r>
              <w:t xml:space="preserve"> Die Vergütung der Mitglieder des Gläubigerausschusses beträgt regelmäßig zwischen </w:t>
            </w:r>
            <w:r>
              <w:rPr>
                <w:rStyle w:val="hdel"/>
              </w:rPr>
              <w:t xml:space="preserve">35 </w:t>
            </w:r>
            <w:r>
              <w:t xml:space="preserve">und </w:t>
            </w:r>
            <w:r>
              <w:rPr>
                <w:rStyle w:val="hdel"/>
              </w:rPr>
              <w:t xml:space="preserve">95 </w:t>
            </w:r>
            <w:r>
              <w:t xml:space="preserve">Euro je Stunde. </w:t>
            </w:r>
            <w:r>
              <w:rPr>
                <w:rStyle w:val="satz"/>
                <w:color w:val="000000"/>
              </w:rPr>
              <w:t>2</w:t>
            </w:r>
            <w:r>
              <w:t xml:space="preserve"> Bei der Festsetzung des Stundensatzes </w:t>
            </w:r>
            <w:r>
              <w:rPr>
                <w:rStyle w:val="hdel"/>
              </w:rPr>
              <w:t xml:space="preserve">ist </w:t>
            </w:r>
            <w:r>
              <w:t xml:space="preserve">insbesondere der Umfang der Tätigkeit zu berücksichtigen. </w:t>
            </w:r>
            <w:r>
              <w:br/>
            </w:r>
          </w:p>
          <w:p w:rsidR="00334EC3" w:rsidRDefault="00334EC3" w:rsidP="006B2F74">
            <w:pPr>
              <w:spacing w:after="0" w:line="240" w:lineRule="auto"/>
            </w:pPr>
            <w:r>
              <w:br/>
              <w:t xml:space="preserve">(2) </w:t>
            </w:r>
            <w:r>
              <w:rPr>
                <w:rStyle w:val="satz"/>
                <w:color w:val="000000"/>
              </w:rPr>
              <w:t>1</w:t>
            </w:r>
            <w:r>
              <w:t xml:space="preserve"> Die Vergütung der Mitglieder des vorläufigen Gläubigerausschusses für die Erfüllung der ihm nach § 56a und § </w:t>
            </w:r>
            <w:r>
              <w:rPr>
                <w:rStyle w:val="hdel"/>
              </w:rPr>
              <w:t xml:space="preserve">270 </w:t>
            </w:r>
            <w:r>
              <w:t xml:space="preserve">Absatz 3 der Insolvenzordnung zugewiesenen Aufgaben beträgt einmalig </w:t>
            </w:r>
            <w:r>
              <w:rPr>
                <w:rStyle w:val="hdel"/>
              </w:rPr>
              <w:t xml:space="preserve">300 </w:t>
            </w:r>
            <w:r>
              <w:t xml:space="preserve">Euro. </w:t>
            </w:r>
            <w:r>
              <w:rPr>
                <w:rStyle w:val="satz"/>
                <w:color w:val="000000"/>
              </w:rPr>
              <w:t>2</w:t>
            </w:r>
            <w:r>
              <w:t xml:space="preserve"> Nach der Bestellung eines vorläufigen Insolvenzverwalters oder eines vorläufigen Sachwalters richtet sich die weitere Vergütung nach Absatz 1.</w:t>
            </w:r>
          </w:p>
          <w:p w:rsidR="00CF63FB" w:rsidRDefault="00CF63FB" w:rsidP="006B2F74">
            <w:pPr>
              <w:spacing w:after="0" w:line="240" w:lineRule="auto"/>
            </w:pPr>
          </w:p>
          <w:p w:rsidR="00CF63FB" w:rsidRDefault="00CF63FB" w:rsidP="00CF63FB">
            <w:pPr>
              <w:pStyle w:val="berschrift3"/>
            </w:pPr>
            <w:r>
              <w:t xml:space="preserve">§ 19 Übergangsregelung </w:t>
            </w:r>
          </w:p>
          <w:p w:rsidR="00CF63FB" w:rsidRDefault="00CF63FB" w:rsidP="006B2F74">
            <w:pPr>
              <w:spacing w:after="0" w:line="240" w:lineRule="auto"/>
              <w:rPr>
                <w:rFonts w:ascii="Arial" w:hAnsi="Arial" w:cs="Arial"/>
                <w:sz w:val="48"/>
                <w:szCs w:val="48"/>
              </w:rPr>
            </w:pPr>
            <w:r>
              <w:t>(5) Auf Insolvenzverfahren, die vor dem 1. Oktober 2020 beantragt worden sind, sind die Vorschriften dieser Verordnung in ihrer bis dahin geltenden Fassung weiter anzuwenden.</w:t>
            </w:r>
          </w:p>
        </w:tc>
        <w:tc>
          <w:tcPr>
            <w:tcW w:w="7139" w:type="dxa"/>
          </w:tcPr>
          <w:p w:rsidR="00637E90" w:rsidRPr="00637E90" w:rsidRDefault="00637E90" w:rsidP="00637E90">
            <w:pPr>
              <w:spacing w:before="100" w:beforeAutospacing="1" w:after="100" w:afterAutospacing="1" w:line="240" w:lineRule="auto"/>
              <w:outlineLvl w:val="0"/>
              <w:rPr>
                <w:rFonts w:ascii="Times New Roman" w:eastAsia="Times New Roman" w:hAnsi="Times New Roman"/>
                <w:b/>
                <w:bCs/>
                <w:sz w:val="27"/>
                <w:szCs w:val="27"/>
                <w:lang w:eastAsia="de-DE"/>
              </w:rPr>
            </w:pPr>
            <w:r w:rsidRPr="00637E90">
              <w:rPr>
                <w:rFonts w:ascii="Times New Roman" w:eastAsia="Times New Roman" w:hAnsi="Times New Roman"/>
                <w:b/>
                <w:bCs/>
                <w:sz w:val="27"/>
                <w:szCs w:val="27"/>
                <w:lang w:eastAsia="de-DE"/>
              </w:rPr>
              <w:lastRenderedPageBreak/>
              <w:t>§ 1 Berechnungsgrundlage</w:t>
            </w:r>
          </w:p>
          <w:p w:rsidR="003C0E77" w:rsidRDefault="00637E90" w:rsidP="003C0E77">
            <w:pPr>
              <w:spacing w:before="100" w:beforeAutospacing="1" w:after="100" w:afterAutospacing="1" w:line="240" w:lineRule="auto"/>
              <w:contextualSpacing/>
              <w:outlineLvl w:val="0"/>
            </w:pPr>
            <w:r>
              <w:t xml:space="preserve">5. Ein </w:t>
            </w:r>
            <w:proofErr w:type="spellStart"/>
            <w:r>
              <w:t>Vorschuß</w:t>
            </w:r>
            <w:proofErr w:type="spellEnd"/>
            <w:r>
              <w:t xml:space="preserve">, der von einer anderen Person als dem Schuldner zur Durchführung des Verfahrens geleistet worden ist, und ein </w:t>
            </w:r>
            <w:proofErr w:type="spellStart"/>
            <w:r>
              <w:t>Zuschuß</w:t>
            </w:r>
            <w:proofErr w:type="spellEnd"/>
            <w:r>
              <w:t xml:space="preserve">, den ein Dritter zur Erfüllung eines Insolvenzplans </w:t>
            </w:r>
            <w:r w:rsidRPr="00637E90">
              <w:rPr>
                <w:rFonts w:ascii="Times New Roman" w:hAnsi="Times New Roman"/>
                <w:color w:val="1F4E79" w:themeColor="accent1" w:themeShade="80"/>
              </w:rPr>
              <w:t>oder zum Zweck der Erteilung der Restschuldbefreiung vor Ablauf der Abtretungsfrist</w:t>
            </w:r>
            <w:r w:rsidRPr="00637E90">
              <w:rPr>
                <w:color w:val="1F4E79" w:themeColor="accent1" w:themeShade="80"/>
              </w:rPr>
              <w:t xml:space="preserve">  </w:t>
            </w:r>
            <w:r>
              <w:t>geleistet hat, bleiben außer Betracht.</w:t>
            </w:r>
          </w:p>
          <w:p w:rsidR="003C0E77" w:rsidRDefault="003C0E77" w:rsidP="003C0E77">
            <w:pPr>
              <w:spacing w:before="100" w:beforeAutospacing="1" w:after="100" w:afterAutospacing="1" w:line="240" w:lineRule="auto"/>
              <w:contextualSpacing/>
              <w:outlineLvl w:val="0"/>
            </w:pPr>
          </w:p>
          <w:p w:rsidR="003C0E77" w:rsidRDefault="003C0E77" w:rsidP="003C0E77">
            <w:pPr>
              <w:spacing w:before="100" w:beforeAutospacing="1" w:after="100" w:afterAutospacing="1" w:line="240" w:lineRule="auto"/>
              <w:contextualSpacing/>
              <w:outlineLvl w:val="0"/>
            </w:pPr>
          </w:p>
          <w:p w:rsidR="0055761B" w:rsidRPr="00B87A9D" w:rsidRDefault="0055761B" w:rsidP="0055761B">
            <w:pPr>
              <w:spacing w:before="100" w:beforeAutospacing="1" w:after="100" w:afterAutospacing="1" w:line="240" w:lineRule="auto"/>
              <w:outlineLvl w:val="0"/>
              <w:rPr>
                <w:rFonts w:ascii="Times New Roman" w:eastAsia="Times New Roman" w:hAnsi="Times New Roman"/>
                <w:b/>
                <w:bCs/>
                <w:sz w:val="27"/>
                <w:szCs w:val="27"/>
                <w:lang w:eastAsia="de-DE"/>
              </w:rPr>
            </w:pPr>
            <w:r w:rsidRPr="00B87A9D">
              <w:rPr>
                <w:rFonts w:ascii="Times New Roman" w:eastAsia="Times New Roman" w:hAnsi="Times New Roman"/>
                <w:b/>
                <w:bCs/>
                <w:sz w:val="27"/>
                <w:szCs w:val="27"/>
                <w:lang w:eastAsia="de-DE"/>
              </w:rPr>
              <w:t>§ 2</w:t>
            </w:r>
            <w:r w:rsidRPr="0055761B">
              <w:rPr>
                <w:rFonts w:ascii="Times New Roman" w:eastAsia="Times New Roman" w:hAnsi="Times New Roman"/>
                <w:b/>
                <w:bCs/>
                <w:sz w:val="27"/>
                <w:szCs w:val="27"/>
                <w:lang w:eastAsia="de-DE"/>
              </w:rPr>
              <w:t> </w:t>
            </w:r>
            <w:r w:rsidRPr="00B87A9D">
              <w:rPr>
                <w:rFonts w:ascii="Times New Roman" w:eastAsia="Times New Roman" w:hAnsi="Times New Roman"/>
                <w:b/>
                <w:bCs/>
                <w:sz w:val="27"/>
                <w:szCs w:val="27"/>
                <w:lang w:eastAsia="de-DE"/>
              </w:rPr>
              <w:t>Regelsätze</w:t>
            </w:r>
          </w:p>
          <w:p w:rsidR="00637C8E" w:rsidRDefault="0055761B" w:rsidP="00637C8E">
            <w:pPr>
              <w:spacing w:after="0" w:line="240" w:lineRule="auto"/>
              <w:rPr>
                <w:rFonts w:ascii="Times New Roman" w:eastAsia="Times New Roman" w:hAnsi="Times New Roman"/>
                <w:sz w:val="24"/>
                <w:szCs w:val="24"/>
                <w:lang w:eastAsia="de-DE"/>
              </w:rPr>
            </w:pPr>
            <w:r w:rsidRPr="0055761B">
              <w:rPr>
                <w:rFonts w:ascii="Times New Roman" w:eastAsia="Times New Roman" w:hAnsi="Times New Roman"/>
                <w:sz w:val="24"/>
                <w:szCs w:val="24"/>
                <w:lang w:eastAsia="de-DE"/>
              </w:rPr>
              <w:t>1) Der Insolvenzverwalter erhält in der Regel</w:t>
            </w:r>
          </w:p>
          <w:p w:rsidR="00637C8E" w:rsidRDefault="00637C8E" w:rsidP="00637C8E">
            <w:pPr>
              <w:spacing w:after="0" w:line="240" w:lineRule="auto"/>
              <w:rPr>
                <w:rFonts w:ascii="Times New Roman" w:eastAsia="Times New Roman" w:hAnsi="Times New Roman"/>
                <w:sz w:val="24"/>
                <w:szCs w:val="24"/>
                <w:lang w:eastAsia="de-DE"/>
              </w:rPr>
            </w:pPr>
          </w:p>
          <w:p w:rsidR="00637C8E" w:rsidRDefault="00637C8E" w:rsidP="00637C8E">
            <w:pPr>
              <w:spacing w:after="0" w:line="240" w:lineRule="auto"/>
              <w:rPr>
                <w:rFonts w:ascii="Times New Roman" w:eastAsia="Times New Roman" w:hAnsi="Times New Roman"/>
                <w:sz w:val="24"/>
                <w:szCs w:val="24"/>
                <w:lang w:eastAsia="de-DE"/>
              </w:rPr>
            </w:pPr>
          </w:p>
          <w:p w:rsidR="00D84161" w:rsidRDefault="0055761B" w:rsidP="00637C8E">
            <w:pPr>
              <w:spacing w:after="0" w:line="240" w:lineRule="auto"/>
            </w:pPr>
            <w:r w:rsidRPr="0055761B">
              <w:rPr>
                <w:rFonts w:ascii="Times New Roman" w:eastAsia="Times New Roman" w:hAnsi="Times New Roman"/>
                <w:sz w:val="24"/>
                <w:szCs w:val="24"/>
                <w:lang w:eastAsia="de-DE"/>
              </w:rPr>
              <w:t xml:space="preserve"> </w:t>
            </w:r>
            <w:r w:rsidR="00637C8E">
              <w:t xml:space="preserve">1. von den ersten </w:t>
            </w:r>
            <w:r w:rsidR="00637C8E" w:rsidRPr="00637C8E">
              <w:rPr>
                <w:rStyle w:val="happ"/>
                <w:color w:val="FF0000"/>
              </w:rPr>
              <w:t xml:space="preserve">35.000 </w:t>
            </w:r>
            <w:r w:rsidR="00637C8E">
              <w:t xml:space="preserve">Euro der Insolvenzmasse 40 </w:t>
            </w:r>
            <w:r w:rsidR="00637C8E" w:rsidRPr="00637C8E">
              <w:rPr>
                <w:rStyle w:val="happ"/>
                <w:color w:val="FF0000"/>
              </w:rPr>
              <w:t>Prozent,</w:t>
            </w:r>
            <w:r w:rsidR="00637C8E">
              <w:rPr>
                <w:rStyle w:val="happ"/>
              </w:rPr>
              <w:t xml:space="preserve"> </w:t>
            </w:r>
            <w:r w:rsidR="00637C8E">
              <w:br/>
            </w:r>
            <w:r w:rsidR="00637C8E">
              <w:br/>
              <w:t xml:space="preserve">2. von dem Mehrbetrag bis zu </w:t>
            </w:r>
            <w:r w:rsidR="00637C8E" w:rsidRPr="00637C8E">
              <w:rPr>
                <w:rStyle w:val="happ"/>
                <w:color w:val="FF0000"/>
              </w:rPr>
              <w:t>70.000 Euro 26 Prozent,</w:t>
            </w:r>
            <w:r w:rsidR="00637C8E">
              <w:rPr>
                <w:rStyle w:val="happ"/>
              </w:rPr>
              <w:t xml:space="preserve"> </w:t>
            </w:r>
            <w:r w:rsidR="00637C8E">
              <w:br/>
            </w:r>
            <w:r w:rsidR="00637C8E">
              <w:br/>
              <w:t xml:space="preserve">3. von dem Mehrbetrag bis zu </w:t>
            </w:r>
            <w:r w:rsidR="00637C8E" w:rsidRPr="00637C8E">
              <w:rPr>
                <w:rStyle w:val="happ"/>
                <w:color w:val="FF0000"/>
              </w:rPr>
              <w:t>350.000 Euro 7,5 Prozent</w:t>
            </w:r>
            <w:r w:rsidR="00637C8E">
              <w:rPr>
                <w:rStyle w:val="happ"/>
              </w:rPr>
              <w:t xml:space="preserve">, </w:t>
            </w:r>
            <w:r w:rsidR="00637C8E">
              <w:br/>
            </w:r>
            <w:r w:rsidR="00637C8E">
              <w:br/>
              <w:t xml:space="preserve">4. von dem Mehrbetrag bis zu </w:t>
            </w:r>
            <w:r w:rsidR="00637C8E" w:rsidRPr="00637C8E">
              <w:rPr>
                <w:rStyle w:val="happ"/>
                <w:color w:val="FF0000"/>
              </w:rPr>
              <w:t>700.000 Euro 3,3 Prozent</w:t>
            </w:r>
            <w:r w:rsidR="00637C8E">
              <w:rPr>
                <w:rStyle w:val="happ"/>
              </w:rPr>
              <w:t xml:space="preserve">, </w:t>
            </w:r>
            <w:r w:rsidR="00637C8E">
              <w:br/>
            </w:r>
            <w:r w:rsidR="00637C8E">
              <w:br/>
              <w:t xml:space="preserve">5. von dem Mehrbetrag bis zu </w:t>
            </w:r>
            <w:r w:rsidR="00637C8E" w:rsidRPr="00637C8E">
              <w:rPr>
                <w:rStyle w:val="happ"/>
                <w:color w:val="FF0000"/>
              </w:rPr>
              <w:t>35.000.000 Euro 2,2 Prozent</w:t>
            </w:r>
            <w:r w:rsidR="00637C8E">
              <w:rPr>
                <w:rStyle w:val="happ"/>
              </w:rPr>
              <w:t xml:space="preserve">, </w:t>
            </w:r>
            <w:r w:rsidR="00637C8E">
              <w:br/>
            </w:r>
            <w:r w:rsidR="00637C8E">
              <w:br/>
              <w:t xml:space="preserve">6. von dem Mehrbetrag bis zu </w:t>
            </w:r>
            <w:r w:rsidR="00637C8E" w:rsidRPr="00637C8E">
              <w:rPr>
                <w:rStyle w:val="happ"/>
                <w:color w:val="FF0000"/>
              </w:rPr>
              <w:t>70.000.000 Euro 1,1 Prozent</w:t>
            </w:r>
            <w:r w:rsidR="00637C8E">
              <w:rPr>
                <w:rStyle w:val="happ"/>
              </w:rPr>
              <w:t xml:space="preserve">, </w:t>
            </w:r>
            <w:r w:rsidR="00637C8E">
              <w:br/>
            </w:r>
            <w:r w:rsidR="00637C8E">
              <w:br/>
              <w:t xml:space="preserve">7. von dem </w:t>
            </w:r>
            <w:r w:rsidR="00637C8E">
              <w:rPr>
                <w:rStyle w:val="happ"/>
              </w:rPr>
              <w:t xml:space="preserve">Mehrbetrag bis zu </w:t>
            </w:r>
            <w:r w:rsidR="00637C8E" w:rsidRPr="00637C8E">
              <w:rPr>
                <w:rStyle w:val="happ"/>
                <w:color w:val="FF0000"/>
              </w:rPr>
              <w:t>350.000.000 Euro 0,5 Prozent</w:t>
            </w:r>
            <w:r w:rsidR="00637C8E">
              <w:rPr>
                <w:rStyle w:val="happ"/>
              </w:rPr>
              <w:t xml:space="preserve">, </w:t>
            </w:r>
            <w:r w:rsidR="00637C8E">
              <w:br/>
            </w:r>
            <w:r w:rsidR="00637C8E">
              <w:br/>
            </w:r>
            <w:r w:rsidR="00637C8E">
              <w:rPr>
                <w:rStyle w:val="happ"/>
              </w:rPr>
              <w:t xml:space="preserve">8. von dem Mehrbetrag bis zu </w:t>
            </w:r>
            <w:r w:rsidR="00637C8E" w:rsidRPr="00637C8E">
              <w:rPr>
                <w:rStyle w:val="happ"/>
                <w:color w:val="FF0000"/>
              </w:rPr>
              <w:t>700.000.000 Euro 0,4 Prozent</w:t>
            </w:r>
            <w:r w:rsidR="00637C8E">
              <w:rPr>
                <w:rStyle w:val="happ"/>
              </w:rPr>
              <w:t xml:space="preserve">, </w:t>
            </w:r>
            <w:r w:rsidR="00637C8E">
              <w:br/>
            </w:r>
            <w:r w:rsidR="00637C8E">
              <w:br/>
            </w:r>
            <w:r w:rsidR="00637C8E" w:rsidRPr="00637C8E">
              <w:rPr>
                <w:rStyle w:val="happ"/>
                <w:color w:val="FF0000"/>
              </w:rPr>
              <w:t>9. von dem darüber hinausgehenden Betrag 0,2 Prozent</w:t>
            </w:r>
            <w:r w:rsidR="00637C8E">
              <w:rPr>
                <w:rStyle w:val="happ"/>
              </w:rPr>
              <w:t xml:space="preserve">. </w:t>
            </w:r>
            <w:r w:rsidR="00637C8E">
              <w:br/>
            </w:r>
            <w:r w:rsidR="00637C8E">
              <w:lastRenderedPageBreak/>
              <w:br/>
              <w:t xml:space="preserve">(2) </w:t>
            </w:r>
            <w:r w:rsidR="00637C8E">
              <w:rPr>
                <w:rStyle w:val="satz"/>
              </w:rPr>
              <w:t>1</w:t>
            </w:r>
            <w:r w:rsidR="00637C8E">
              <w:t xml:space="preserve"> Haben in dem Verfahren nicht mehr als 10 Gläubiger ihre Forderungen angemeldet, so soll die Vergütung in der Regel mindestens </w:t>
            </w:r>
            <w:r w:rsidR="00637C8E" w:rsidRPr="00637C8E">
              <w:rPr>
                <w:rStyle w:val="happ"/>
                <w:color w:val="FF0000"/>
              </w:rPr>
              <w:t>1.400</w:t>
            </w:r>
            <w:r w:rsidR="00637C8E">
              <w:rPr>
                <w:rStyle w:val="happ"/>
              </w:rPr>
              <w:t xml:space="preserve"> </w:t>
            </w:r>
            <w:r w:rsidR="00637C8E">
              <w:t xml:space="preserve">Euro betragen. </w:t>
            </w:r>
            <w:r w:rsidR="00637C8E">
              <w:rPr>
                <w:rStyle w:val="satz"/>
              </w:rPr>
              <w:t>2</w:t>
            </w:r>
            <w:r w:rsidR="00637C8E">
              <w:t xml:space="preserve"> Von 11 bis zu 30 Gläubigern erhöht sich die Vergütung für je angefangene 5 Gläubiger um </w:t>
            </w:r>
            <w:r w:rsidR="00637C8E" w:rsidRPr="00637C8E">
              <w:rPr>
                <w:rStyle w:val="happ"/>
                <w:color w:val="FF0000"/>
              </w:rPr>
              <w:t xml:space="preserve">210 </w:t>
            </w:r>
            <w:r w:rsidR="00637C8E">
              <w:t xml:space="preserve">Euro. </w:t>
            </w:r>
            <w:r w:rsidR="00637C8E">
              <w:rPr>
                <w:rStyle w:val="satz"/>
              </w:rPr>
              <w:t>3</w:t>
            </w:r>
            <w:r w:rsidR="00637C8E">
              <w:t xml:space="preserve"> Ab 31 Gläubiger erhöht sich die Vergütung je angefangene 5 Gläubiger um </w:t>
            </w:r>
            <w:r w:rsidR="00637C8E" w:rsidRPr="00637C8E">
              <w:rPr>
                <w:rStyle w:val="happ"/>
                <w:color w:val="FF0000"/>
              </w:rPr>
              <w:t xml:space="preserve">140 </w:t>
            </w:r>
            <w:r w:rsidR="00637C8E">
              <w:t>Euro.</w:t>
            </w:r>
          </w:p>
          <w:p w:rsidR="008A4874" w:rsidRDefault="008A4874" w:rsidP="00637C8E">
            <w:pPr>
              <w:spacing w:after="0" w:line="240" w:lineRule="auto"/>
            </w:pPr>
          </w:p>
          <w:p w:rsidR="00637E90" w:rsidRDefault="00637E90" w:rsidP="00637C8E">
            <w:pPr>
              <w:spacing w:after="0" w:line="240" w:lineRule="auto"/>
            </w:pPr>
          </w:p>
          <w:p w:rsidR="00637E90" w:rsidRDefault="00637E90" w:rsidP="00637C8E">
            <w:pPr>
              <w:spacing w:after="0" w:line="240" w:lineRule="auto"/>
            </w:pPr>
          </w:p>
          <w:p w:rsidR="00B87A9D" w:rsidRDefault="008A4874" w:rsidP="00AC059D">
            <w:pPr>
              <w:spacing w:before="100" w:beforeAutospacing="1" w:after="100" w:afterAutospacing="1" w:line="240" w:lineRule="auto"/>
              <w:outlineLvl w:val="0"/>
            </w:pPr>
            <w:r w:rsidRPr="008A4874">
              <w:rPr>
                <w:rFonts w:ascii="Times New Roman" w:eastAsia="Times New Roman" w:hAnsi="Times New Roman"/>
                <w:b/>
                <w:bCs/>
                <w:sz w:val="27"/>
                <w:szCs w:val="27"/>
                <w:lang w:eastAsia="de-DE"/>
              </w:rPr>
              <w:t>§ 4 Geschäftskosten, Haftpflichtversicherung</w:t>
            </w:r>
          </w:p>
          <w:p w:rsidR="008A4874" w:rsidRDefault="00B87A9D" w:rsidP="00637C8E">
            <w:pPr>
              <w:spacing w:after="0" w:line="240" w:lineRule="auto"/>
              <w:rPr>
                <w:color w:val="FF0000"/>
              </w:rPr>
            </w:pPr>
            <w:r>
              <w:t xml:space="preserve">(2) </w:t>
            </w:r>
            <w:r>
              <w:rPr>
                <w:rStyle w:val="satz"/>
              </w:rPr>
              <w:t>1</w:t>
            </w:r>
            <w:r>
              <w:rPr>
                <w:rStyle w:val="happ"/>
              </w:rPr>
              <w:t xml:space="preserve"> </w:t>
            </w:r>
            <w:r>
              <w:t xml:space="preserve">Besondere Kosten, die dem Verwalter im Einzelfall, zum Beispiel durch Reisen, tatsächlich entstehen, sind als Auslagen zu erstatten. </w:t>
            </w:r>
            <w:r w:rsidRPr="00B87A9D">
              <w:rPr>
                <w:rStyle w:val="satz"/>
                <w:color w:val="FF0000"/>
              </w:rPr>
              <w:t>2</w:t>
            </w:r>
            <w:r w:rsidRPr="00B87A9D">
              <w:rPr>
                <w:rStyle w:val="happ"/>
                <w:color w:val="FF0000"/>
              </w:rPr>
              <w:t xml:space="preserve"> Für die Übertragung der Zustellungen im Sinne des § 8 Absatz 3 der Insolvenzordnung gilt Nummer 9002 des Kostenverzeichnisses zum Gerichtskostengesetz entsprechend. </w:t>
            </w:r>
            <w:r w:rsidRPr="00B87A9D">
              <w:rPr>
                <w:color w:val="FF0000"/>
              </w:rPr>
              <w:br/>
            </w:r>
            <w:r>
              <w:br/>
              <w:t xml:space="preserve">(3) </w:t>
            </w:r>
            <w:r w:rsidRPr="00B87A9D">
              <w:rPr>
                <w:rStyle w:val="satz"/>
                <w:color w:val="FF0000"/>
              </w:rPr>
              <w:t>1</w:t>
            </w:r>
            <w:r w:rsidRPr="00B87A9D">
              <w:rPr>
                <w:color w:val="FF0000"/>
              </w:rPr>
              <w:t xml:space="preserve"> Mit der Vergütung sind auch die Kosten einer Haftpflichtversicherung </w:t>
            </w:r>
            <w:r w:rsidRPr="00B87A9D">
              <w:rPr>
                <w:rStyle w:val="happ"/>
                <w:color w:val="FF0000"/>
              </w:rPr>
              <w:t xml:space="preserve">mit einer Versicherungssumme bis zu 2.000.000 Euro pro Versicherungsfall und mit einer Jahreshöchstleistung bis zu 4.000.000 Euro </w:t>
            </w:r>
            <w:r w:rsidRPr="00B87A9D">
              <w:rPr>
                <w:color w:val="FF0000"/>
              </w:rPr>
              <w:t xml:space="preserve">abgegolten. </w:t>
            </w:r>
            <w:r w:rsidRPr="00B87A9D">
              <w:rPr>
                <w:rStyle w:val="satz"/>
                <w:color w:val="FF0000"/>
              </w:rPr>
              <w:t>2</w:t>
            </w:r>
            <w:r w:rsidRPr="00B87A9D">
              <w:rPr>
                <w:color w:val="FF0000"/>
              </w:rPr>
              <w:t xml:space="preserve"> Ist die Verwaltung mit einem </w:t>
            </w:r>
            <w:r w:rsidRPr="00B87A9D">
              <w:rPr>
                <w:rStyle w:val="happ"/>
                <w:color w:val="FF0000"/>
              </w:rPr>
              <w:t xml:space="preserve">darüber hinausgehenden </w:t>
            </w:r>
            <w:r w:rsidRPr="00B87A9D">
              <w:rPr>
                <w:color w:val="FF0000"/>
              </w:rPr>
              <w:t xml:space="preserve">Haftungsrisiko verbunden, so sind die Kosten einer </w:t>
            </w:r>
            <w:r w:rsidRPr="00B87A9D">
              <w:rPr>
                <w:rStyle w:val="happ"/>
                <w:color w:val="FF0000"/>
              </w:rPr>
              <w:t xml:space="preserve">entsprechend höheren </w:t>
            </w:r>
            <w:r w:rsidRPr="00B87A9D">
              <w:rPr>
                <w:color w:val="FF0000"/>
              </w:rPr>
              <w:t>Versicherung als Auslagen zu erstatten.</w:t>
            </w:r>
          </w:p>
          <w:p w:rsidR="00B87A9D" w:rsidRDefault="00B87A9D" w:rsidP="00637C8E">
            <w:pPr>
              <w:spacing w:after="0" w:line="240" w:lineRule="auto"/>
              <w:rPr>
                <w:color w:val="FF0000"/>
              </w:rPr>
            </w:pPr>
          </w:p>
          <w:p w:rsidR="00B87A9D" w:rsidRDefault="00B87A9D" w:rsidP="00637C8E">
            <w:pPr>
              <w:spacing w:after="0" w:line="240" w:lineRule="auto"/>
              <w:rPr>
                <w:color w:val="FF0000"/>
              </w:rPr>
            </w:pPr>
          </w:p>
          <w:p w:rsidR="00B87A9D" w:rsidRPr="00B87A9D" w:rsidRDefault="00B87A9D" w:rsidP="00B87A9D">
            <w:pPr>
              <w:spacing w:before="100" w:beforeAutospacing="1" w:after="100" w:afterAutospacing="1" w:line="240" w:lineRule="auto"/>
              <w:outlineLvl w:val="2"/>
              <w:rPr>
                <w:rFonts w:ascii="Times New Roman" w:eastAsia="Times New Roman" w:hAnsi="Times New Roman"/>
                <w:b/>
                <w:bCs/>
                <w:sz w:val="27"/>
                <w:szCs w:val="27"/>
                <w:lang w:eastAsia="de-DE"/>
              </w:rPr>
            </w:pPr>
            <w:r w:rsidRPr="00B87A9D">
              <w:rPr>
                <w:rFonts w:ascii="Times New Roman" w:eastAsia="Times New Roman" w:hAnsi="Times New Roman"/>
                <w:b/>
                <w:bCs/>
                <w:sz w:val="27"/>
                <w:szCs w:val="27"/>
                <w:lang w:eastAsia="de-DE"/>
              </w:rPr>
              <w:t xml:space="preserve">§ 8 Festsetzung von Vergütung und Auslagen </w:t>
            </w:r>
          </w:p>
          <w:p w:rsidR="00B87A9D" w:rsidRDefault="00B87A9D" w:rsidP="00637C8E">
            <w:pPr>
              <w:spacing w:after="0" w:line="240" w:lineRule="auto"/>
            </w:pPr>
            <w:r>
              <w:t xml:space="preserve">(3) </w:t>
            </w:r>
            <w:r>
              <w:rPr>
                <w:rStyle w:val="satz"/>
                <w:color w:val="000000"/>
              </w:rPr>
              <w:t>1</w:t>
            </w:r>
            <w:r>
              <w:t xml:space="preserve"> Der Verwalter kann nach seiner Wahl anstelle der tatsächlich entstandenen Auslagen einen Pauschsatz fordern, der im ersten Jahr 15 vom Hundert, danach 10 vom Hundert der Regelvergütung, höchstens jedoch </w:t>
            </w:r>
            <w:r w:rsidRPr="00B87A9D">
              <w:rPr>
                <w:rStyle w:val="happ"/>
                <w:color w:val="FF0000"/>
              </w:rPr>
              <w:t>350</w:t>
            </w:r>
            <w:r>
              <w:rPr>
                <w:rStyle w:val="happ"/>
              </w:rPr>
              <w:t xml:space="preserve"> </w:t>
            </w:r>
            <w:r>
              <w:lastRenderedPageBreak/>
              <w:t xml:space="preserve">Euro je angefangenen Monat der Dauer der Tätigkeit des Verwalters beträgt. </w:t>
            </w:r>
            <w:r>
              <w:rPr>
                <w:rStyle w:val="satz"/>
                <w:color w:val="000000"/>
              </w:rPr>
              <w:t>2</w:t>
            </w:r>
            <w:r>
              <w:t xml:space="preserve"> Der Pauschsatz darf 30 vom Hundert der Regelvergütung nicht übersteigen.</w:t>
            </w:r>
          </w:p>
          <w:p w:rsidR="00867B79" w:rsidRDefault="00867B79" w:rsidP="00637C8E">
            <w:pPr>
              <w:spacing w:after="0" w:line="240" w:lineRule="auto"/>
            </w:pPr>
          </w:p>
          <w:p w:rsidR="00867B79" w:rsidRDefault="00867B79" w:rsidP="00637C8E">
            <w:pPr>
              <w:spacing w:after="0" w:line="240" w:lineRule="auto"/>
            </w:pPr>
          </w:p>
          <w:p w:rsidR="00867B79" w:rsidRPr="00867B79" w:rsidRDefault="00867B79" w:rsidP="00867B79">
            <w:pPr>
              <w:spacing w:before="100" w:beforeAutospacing="1" w:after="100" w:afterAutospacing="1" w:line="240" w:lineRule="auto"/>
              <w:outlineLvl w:val="2"/>
              <w:rPr>
                <w:rFonts w:ascii="Times New Roman" w:eastAsia="Times New Roman" w:hAnsi="Times New Roman"/>
                <w:b/>
                <w:bCs/>
                <w:sz w:val="27"/>
                <w:szCs w:val="27"/>
                <w:lang w:eastAsia="de-DE"/>
              </w:rPr>
            </w:pPr>
            <w:r w:rsidRPr="00867B79">
              <w:rPr>
                <w:rFonts w:ascii="Times New Roman" w:eastAsia="Times New Roman" w:hAnsi="Times New Roman"/>
                <w:b/>
                <w:bCs/>
                <w:sz w:val="27"/>
                <w:szCs w:val="27"/>
                <w:lang w:eastAsia="de-DE"/>
              </w:rPr>
              <w:t>§ 10 Grundsatz</w:t>
            </w:r>
          </w:p>
          <w:p w:rsidR="00867B79" w:rsidRDefault="00867B79" w:rsidP="00637C8E">
            <w:pPr>
              <w:spacing w:after="0" w:line="240" w:lineRule="auto"/>
            </w:pPr>
          </w:p>
          <w:p w:rsidR="00867B79" w:rsidRDefault="00867B79" w:rsidP="00637C8E">
            <w:pPr>
              <w:spacing w:after="0" w:line="240" w:lineRule="auto"/>
            </w:pPr>
          </w:p>
          <w:p w:rsidR="00867B79" w:rsidRDefault="00867B79" w:rsidP="00637C8E">
            <w:pPr>
              <w:spacing w:after="0" w:line="240" w:lineRule="auto"/>
            </w:pPr>
            <w:r>
              <w:t xml:space="preserve">Für die Vergütung des vorläufigen Insolvenzverwalters, des </w:t>
            </w:r>
            <w:r>
              <w:rPr>
                <w:rStyle w:val="happ"/>
              </w:rPr>
              <w:t xml:space="preserve">Sachwalters, </w:t>
            </w:r>
            <w:r w:rsidRPr="00867B79">
              <w:rPr>
                <w:rStyle w:val="happ"/>
                <w:color w:val="FF0000"/>
              </w:rPr>
              <w:t xml:space="preserve">des vorläufigen </w:t>
            </w:r>
            <w:r w:rsidRPr="00867B79">
              <w:rPr>
                <w:color w:val="FF0000"/>
              </w:rPr>
              <w:t xml:space="preserve">Sachwalters </w:t>
            </w:r>
            <w:r>
              <w:t>und des Insolvenzverwalters im Verbraucherinsolvenzverfahren gelten die Vorschriften des Ersten Abschnitts entsprechend, soweit in den §§ 11 bis 13 nichts anderes bestimmt ist.</w:t>
            </w:r>
          </w:p>
          <w:p w:rsidR="00BC3AA1" w:rsidRDefault="00BC3AA1" w:rsidP="00637C8E">
            <w:pPr>
              <w:spacing w:after="0" w:line="240" w:lineRule="auto"/>
            </w:pPr>
          </w:p>
          <w:p w:rsidR="00BC3AA1" w:rsidRDefault="00BC3AA1" w:rsidP="00BC3AA1">
            <w:pPr>
              <w:pStyle w:val="berschrift3"/>
            </w:pPr>
            <w:r>
              <w:t xml:space="preserve">§ 12 Vergütung des Sachwalters </w:t>
            </w:r>
          </w:p>
          <w:p w:rsidR="00BC3AA1" w:rsidRDefault="00BC3AA1" w:rsidP="00637C8E">
            <w:pPr>
              <w:spacing w:after="0" w:line="240" w:lineRule="auto"/>
            </w:pPr>
            <w:r>
              <w:t xml:space="preserve">(3) § 8 Abs. 3 gilt mit der Maßgabe, </w:t>
            </w:r>
            <w:proofErr w:type="spellStart"/>
            <w:r>
              <w:t>daß</w:t>
            </w:r>
            <w:proofErr w:type="spellEnd"/>
            <w:r>
              <w:t xml:space="preserve"> an die Stelle des Betrags von </w:t>
            </w:r>
            <w:r w:rsidRPr="00BC3AA1">
              <w:rPr>
                <w:rStyle w:val="happ"/>
                <w:color w:val="FF0000"/>
              </w:rPr>
              <w:t xml:space="preserve">350 </w:t>
            </w:r>
            <w:r>
              <w:t xml:space="preserve">Euro der Betrag von </w:t>
            </w:r>
            <w:r w:rsidRPr="00BC3AA1">
              <w:rPr>
                <w:rStyle w:val="happ"/>
                <w:color w:val="FF0000"/>
              </w:rPr>
              <w:t>175</w:t>
            </w:r>
            <w:r>
              <w:rPr>
                <w:rStyle w:val="happ"/>
              </w:rPr>
              <w:t xml:space="preserve"> </w:t>
            </w:r>
            <w:r>
              <w:t>Euro tritt.</w:t>
            </w:r>
          </w:p>
          <w:p w:rsidR="00BC3AA1" w:rsidRDefault="00BC3AA1" w:rsidP="00637C8E">
            <w:pPr>
              <w:spacing w:after="0" w:line="240" w:lineRule="auto"/>
            </w:pPr>
          </w:p>
          <w:p w:rsidR="00E01B79" w:rsidRPr="00566555" w:rsidRDefault="00E01B79" w:rsidP="00637C8E">
            <w:pPr>
              <w:spacing w:after="0" w:line="240" w:lineRule="auto"/>
              <w:rPr>
                <w:rFonts w:ascii="Times New Roman" w:eastAsia="Times New Roman" w:hAnsi="Times New Roman"/>
                <w:b/>
                <w:bCs/>
                <w:color w:val="C00000"/>
                <w:sz w:val="27"/>
                <w:szCs w:val="27"/>
                <w:lang w:eastAsia="de-DE"/>
              </w:rPr>
            </w:pPr>
            <w:r w:rsidRPr="00566555">
              <w:rPr>
                <w:rFonts w:ascii="Times New Roman" w:eastAsia="Times New Roman" w:hAnsi="Times New Roman"/>
                <w:b/>
                <w:bCs/>
                <w:color w:val="C00000"/>
                <w:sz w:val="27"/>
                <w:szCs w:val="27"/>
                <w:lang w:eastAsia="de-DE"/>
              </w:rPr>
              <w:t xml:space="preserve">§ 12aVergütung des vorläufigen Sachwalters </w:t>
            </w:r>
          </w:p>
          <w:p w:rsidR="00E01B79" w:rsidRPr="00566555" w:rsidRDefault="00E01B79" w:rsidP="00637C8E">
            <w:pPr>
              <w:spacing w:after="0" w:line="240" w:lineRule="auto"/>
              <w:rPr>
                <w:rFonts w:ascii="Arial" w:hAnsi="Arial" w:cs="Arial"/>
                <w:color w:val="C00000"/>
                <w:sz w:val="26"/>
                <w:szCs w:val="26"/>
              </w:rPr>
            </w:pPr>
          </w:p>
          <w:p w:rsidR="00E01B79" w:rsidRPr="00566555" w:rsidRDefault="00E01B79" w:rsidP="00637C8E">
            <w:pPr>
              <w:spacing w:after="0" w:line="240" w:lineRule="auto"/>
              <w:rPr>
                <w:rFonts w:ascii="Arial" w:hAnsi="Arial" w:cs="Arial"/>
                <w:color w:val="C00000"/>
                <w:sz w:val="26"/>
                <w:szCs w:val="26"/>
              </w:rPr>
            </w:pPr>
          </w:p>
          <w:p w:rsidR="00E01B79" w:rsidRPr="00566555" w:rsidRDefault="00E01B79" w:rsidP="00637C8E">
            <w:pPr>
              <w:spacing w:after="0" w:line="240" w:lineRule="auto"/>
              <w:rPr>
                <w:rStyle w:val="happ"/>
                <w:color w:val="FF0000"/>
              </w:rPr>
            </w:pPr>
          </w:p>
          <w:p w:rsidR="00566555" w:rsidRDefault="00E01B79" w:rsidP="00637C8E">
            <w:pPr>
              <w:spacing w:after="0" w:line="240" w:lineRule="auto"/>
              <w:rPr>
                <w:rStyle w:val="happ"/>
                <w:color w:val="FF0000"/>
              </w:rPr>
            </w:pPr>
            <w:r w:rsidRPr="00566555">
              <w:rPr>
                <w:rStyle w:val="happ"/>
                <w:color w:val="FF0000"/>
              </w:rPr>
              <w:t>(1)</w:t>
            </w:r>
            <w:r w:rsidR="00566555">
              <w:rPr>
                <w:rStyle w:val="happ"/>
                <w:color w:val="FF0000"/>
              </w:rPr>
              <w:t xml:space="preserve"> </w:t>
            </w:r>
            <w:r w:rsidRPr="00566555">
              <w:rPr>
                <w:rStyle w:val="happ"/>
                <w:color w:val="FF0000"/>
              </w:rPr>
              <w:t>Die Tätigkeit des vorläufigen Sachwalters wird gesondert vergütet. Er erhält in der Regel 25 Prozent der Vergütung des Sachwalters bezogen auf das Vermögen, auf das sich seine Tätigkeit während des Eröffnungsverfahrens erstreckt. Maßgebend für die Wertermittlung ist der Zeitpunkt der Beendigung der</w:t>
            </w:r>
            <w:r w:rsidR="009B7616" w:rsidRPr="00566555">
              <w:rPr>
                <w:rStyle w:val="happ"/>
                <w:color w:val="FF0000"/>
              </w:rPr>
              <w:t xml:space="preserve"> </w:t>
            </w:r>
            <w:r w:rsidRPr="00566555">
              <w:rPr>
                <w:rStyle w:val="happ"/>
                <w:color w:val="FF0000"/>
              </w:rPr>
              <w:t>vorläufigen Eigenverwaltung oder der Zeitpunkt, ab dem der Gegenstand nicht mehr der Verfügungsbefugnis des eigenverwaltenden Schuldners unterliegt. Vermögensgegenstände, an denen bei Verfahrenseröffnung</w:t>
            </w:r>
            <w:r w:rsidR="009B7616" w:rsidRPr="00566555">
              <w:rPr>
                <w:rStyle w:val="happ"/>
                <w:color w:val="FF0000"/>
              </w:rPr>
              <w:t xml:space="preserve"> </w:t>
            </w:r>
            <w:r w:rsidRPr="00566555">
              <w:rPr>
                <w:rStyle w:val="happ"/>
                <w:color w:val="FF0000"/>
              </w:rPr>
              <w:t>Aus- oder Absonderungsrechte bestehen, werden</w:t>
            </w:r>
            <w:r w:rsidRPr="00566555">
              <w:rPr>
                <w:color w:val="C00000"/>
              </w:rPr>
              <w:t xml:space="preserve"> </w:t>
            </w:r>
            <w:r w:rsidRPr="00566555">
              <w:rPr>
                <w:rStyle w:val="happ"/>
                <w:color w:val="FF0000"/>
              </w:rPr>
              <w:lastRenderedPageBreak/>
              <w:t>dem Vermögen nach Satz 2 hinzugerechnet, sofern sich der vorläufige Sachwalter in erheblichem Umfang mit ihnen befasst. Sie bleiben unberücksichtigt, sofern der</w:t>
            </w:r>
            <w:r w:rsidR="009B7616" w:rsidRPr="00566555">
              <w:rPr>
                <w:rStyle w:val="happ"/>
                <w:color w:val="FF0000"/>
              </w:rPr>
              <w:t xml:space="preserve"> </w:t>
            </w:r>
            <w:r w:rsidRPr="00566555">
              <w:rPr>
                <w:rStyle w:val="happ"/>
                <w:color w:val="FF0000"/>
              </w:rPr>
              <w:t xml:space="preserve">Schuldner die Gegenstände lediglich aufgrund eines Besitzüberlassungsvertrages in Besitz hat. </w:t>
            </w:r>
          </w:p>
          <w:p w:rsidR="00566555" w:rsidRDefault="00566555" w:rsidP="00637C8E">
            <w:pPr>
              <w:spacing w:after="0" w:line="240" w:lineRule="auto"/>
              <w:rPr>
                <w:rStyle w:val="happ"/>
                <w:color w:val="FF0000"/>
              </w:rPr>
            </w:pPr>
          </w:p>
          <w:p w:rsidR="00566555" w:rsidRDefault="00E01B79" w:rsidP="00637C8E">
            <w:pPr>
              <w:spacing w:after="0" w:line="240" w:lineRule="auto"/>
              <w:rPr>
                <w:rStyle w:val="happ"/>
                <w:color w:val="FF0000"/>
              </w:rPr>
            </w:pPr>
            <w:r w:rsidRPr="00566555">
              <w:rPr>
                <w:rStyle w:val="happ"/>
                <w:color w:val="FF0000"/>
              </w:rPr>
              <w:t>(2)</w:t>
            </w:r>
            <w:r w:rsidR="00566555">
              <w:rPr>
                <w:rStyle w:val="happ"/>
                <w:color w:val="FF0000"/>
              </w:rPr>
              <w:t xml:space="preserve"> </w:t>
            </w:r>
            <w:r w:rsidRPr="00566555">
              <w:rPr>
                <w:rStyle w:val="happ"/>
                <w:color w:val="FF0000"/>
              </w:rPr>
              <w:t>Wird die Festsetzung der Vergütung beantragt, bevor die von Absatz 1 Satz 2 erfassten Gegen-stände veräußert wurden, ist das Insolvenzgericht spätestens mit Vorlage der Schlussrechnung auf eine Abweichung des tatsächlichen Werts von dem der Vergütung zugrunde liegenden Wert hinzuweisen, sofern die Wertdifferenz 20 Prozent bezogen auf die Gesamtheit dieser Gegenstände übersteigt.</w:t>
            </w:r>
          </w:p>
          <w:p w:rsidR="00566555" w:rsidRDefault="00566555" w:rsidP="00637C8E">
            <w:pPr>
              <w:spacing w:after="0" w:line="240" w:lineRule="auto"/>
              <w:rPr>
                <w:rStyle w:val="happ"/>
                <w:color w:val="FF0000"/>
              </w:rPr>
            </w:pPr>
          </w:p>
          <w:p w:rsidR="00566555" w:rsidRDefault="00E01B79" w:rsidP="00637C8E">
            <w:pPr>
              <w:spacing w:after="0" w:line="240" w:lineRule="auto"/>
              <w:rPr>
                <w:rStyle w:val="happ"/>
                <w:color w:val="FF0000"/>
              </w:rPr>
            </w:pPr>
            <w:r w:rsidRPr="00566555">
              <w:rPr>
                <w:rStyle w:val="happ"/>
                <w:color w:val="FF0000"/>
              </w:rPr>
              <w:t>(3)</w:t>
            </w:r>
            <w:r w:rsidR="00566555">
              <w:rPr>
                <w:rStyle w:val="happ"/>
                <w:color w:val="FF0000"/>
              </w:rPr>
              <w:t xml:space="preserve"> </w:t>
            </w:r>
            <w:r w:rsidRPr="00566555">
              <w:rPr>
                <w:rStyle w:val="happ"/>
                <w:color w:val="FF0000"/>
              </w:rPr>
              <w:t xml:space="preserve">Art, Dauer und Umfang der Tätigkeit des vorläufigen Sachwalters sind bei der Festsetzung der Vergütung zu berücksichtigen. </w:t>
            </w:r>
          </w:p>
          <w:p w:rsidR="00566555" w:rsidRDefault="00566555" w:rsidP="00637C8E">
            <w:pPr>
              <w:spacing w:after="0" w:line="240" w:lineRule="auto"/>
              <w:rPr>
                <w:rStyle w:val="happ"/>
                <w:color w:val="FF0000"/>
              </w:rPr>
            </w:pPr>
          </w:p>
          <w:p w:rsidR="009B7616" w:rsidRPr="00566555" w:rsidRDefault="00E01B79" w:rsidP="00637C8E">
            <w:pPr>
              <w:spacing w:after="0" w:line="240" w:lineRule="auto"/>
              <w:rPr>
                <w:rStyle w:val="happ"/>
                <w:color w:val="FF0000"/>
              </w:rPr>
            </w:pPr>
            <w:r w:rsidRPr="00566555">
              <w:rPr>
                <w:rStyle w:val="happ"/>
                <w:color w:val="FF0000"/>
              </w:rPr>
              <w:t>(4)</w:t>
            </w:r>
            <w:r w:rsidR="00566555">
              <w:rPr>
                <w:rStyle w:val="happ"/>
                <w:color w:val="FF0000"/>
              </w:rPr>
              <w:t xml:space="preserve"> </w:t>
            </w:r>
            <w:r w:rsidRPr="00566555">
              <w:rPr>
                <w:rStyle w:val="happ"/>
                <w:color w:val="FF0000"/>
              </w:rPr>
              <w:t>Hat das Insolvenzgericht den vorläufigen Sachwalter als Sachverständigen gesondert beauftragt</w:t>
            </w:r>
            <w:r w:rsidR="009B7616" w:rsidRPr="00566555">
              <w:rPr>
                <w:rStyle w:val="happ"/>
                <w:color w:val="FF0000"/>
              </w:rPr>
              <w:t xml:space="preserve"> </w:t>
            </w:r>
            <w:r w:rsidRPr="00566555">
              <w:rPr>
                <w:rStyle w:val="happ"/>
                <w:color w:val="FF0000"/>
              </w:rPr>
              <w:t>zu prüfen, ob ein Eröffnungsgrund vorliegt und welche Aussichten für eine Fortführung des Unternehmens</w:t>
            </w:r>
            <w:r w:rsidR="009B7616" w:rsidRPr="00566555">
              <w:rPr>
                <w:rStyle w:val="happ"/>
                <w:color w:val="FF0000"/>
              </w:rPr>
              <w:t xml:space="preserve"> </w:t>
            </w:r>
            <w:r w:rsidRPr="00566555">
              <w:rPr>
                <w:rStyle w:val="happ"/>
                <w:color w:val="FF0000"/>
              </w:rPr>
              <w:t>des Schuldners bestehen, so erhält er gesondert eine Vergütung nach dem Justizvergütungs- und -</w:t>
            </w:r>
            <w:proofErr w:type="spellStart"/>
            <w:r w:rsidRPr="00566555">
              <w:rPr>
                <w:rStyle w:val="happ"/>
                <w:color w:val="FF0000"/>
              </w:rPr>
              <w:t>entschädigungsgesetz</w:t>
            </w:r>
            <w:proofErr w:type="spellEnd"/>
            <w:r w:rsidRPr="00566555">
              <w:rPr>
                <w:rStyle w:val="happ"/>
                <w:color w:val="FF0000"/>
              </w:rPr>
              <w:t xml:space="preserve">. </w:t>
            </w:r>
          </w:p>
          <w:p w:rsidR="009B7616" w:rsidRDefault="009B7616" w:rsidP="00637C8E">
            <w:pPr>
              <w:spacing w:after="0" w:line="240" w:lineRule="auto"/>
            </w:pPr>
          </w:p>
          <w:p w:rsidR="00BC3AA1" w:rsidRDefault="00E01B79" w:rsidP="00637C8E">
            <w:pPr>
              <w:spacing w:after="0" w:line="240" w:lineRule="auto"/>
            </w:pPr>
            <w:r w:rsidRPr="00E01B79">
              <w:t>(</w:t>
            </w:r>
            <w:r w:rsidRPr="00566555">
              <w:rPr>
                <w:rStyle w:val="happ"/>
                <w:color w:val="FF0000"/>
              </w:rPr>
              <w:t>5)</w:t>
            </w:r>
            <w:r w:rsidR="00566555" w:rsidRPr="00566555">
              <w:rPr>
                <w:rStyle w:val="happ"/>
                <w:color w:val="FF0000"/>
              </w:rPr>
              <w:t xml:space="preserve"> </w:t>
            </w:r>
            <w:r w:rsidRPr="00566555">
              <w:rPr>
                <w:rStyle w:val="happ"/>
                <w:color w:val="FF0000"/>
              </w:rPr>
              <w:t>§ 12 Absatz 3 gilt entsprechend</w:t>
            </w:r>
          </w:p>
          <w:p w:rsidR="003C0E77" w:rsidRDefault="003C0E77" w:rsidP="00BC3AA1">
            <w:pPr>
              <w:spacing w:before="100" w:beforeAutospacing="1" w:after="100" w:afterAutospacing="1" w:line="240" w:lineRule="auto"/>
              <w:outlineLvl w:val="2"/>
              <w:rPr>
                <w:rFonts w:ascii="Times New Roman" w:eastAsia="Times New Roman" w:hAnsi="Times New Roman"/>
                <w:b/>
                <w:bCs/>
                <w:sz w:val="27"/>
                <w:szCs w:val="27"/>
                <w:lang w:eastAsia="de-DE"/>
              </w:rPr>
            </w:pPr>
          </w:p>
          <w:p w:rsidR="003C0E77" w:rsidRDefault="003C0E77" w:rsidP="00BC3AA1">
            <w:pPr>
              <w:spacing w:before="100" w:beforeAutospacing="1" w:after="100" w:afterAutospacing="1" w:line="240" w:lineRule="auto"/>
              <w:outlineLvl w:val="2"/>
              <w:rPr>
                <w:rFonts w:ascii="Times New Roman" w:eastAsia="Times New Roman" w:hAnsi="Times New Roman"/>
                <w:b/>
                <w:bCs/>
                <w:sz w:val="27"/>
                <w:szCs w:val="27"/>
                <w:lang w:eastAsia="de-DE"/>
              </w:rPr>
            </w:pPr>
          </w:p>
          <w:p w:rsidR="00566555" w:rsidRDefault="00566555" w:rsidP="00BC3AA1">
            <w:pPr>
              <w:spacing w:before="100" w:beforeAutospacing="1" w:after="100" w:afterAutospacing="1" w:line="240" w:lineRule="auto"/>
              <w:outlineLvl w:val="2"/>
              <w:rPr>
                <w:rFonts w:ascii="Times New Roman" w:eastAsia="Times New Roman" w:hAnsi="Times New Roman"/>
                <w:b/>
                <w:bCs/>
                <w:sz w:val="27"/>
                <w:szCs w:val="27"/>
                <w:lang w:eastAsia="de-DE"/>
              </w:rPr>
            </w:pPr>
          </w:p>
          <w:p w:rsidR="00566555" w:rsidRDefault="00566555" w:rsidP="00BC3AA1">
            <w:pPr>
              <w:spacing w:before="100" w:beforeAutospacing="1" w:after="100" w:afterAutospacing="1" w:line="240" w:lineRule="auto"/>
              <w:outlineLvl w:val="2"/>
              <w:rPr>
                <w:rFonts w:ascii="Times New Roman" w:eastAsia="Times New Roman" w:hAnsi="Times New Roman"/>
                <w:b/>
                <w:bCs/>
                <w:sz w:val="27"/>
                <w:szCs w:val="27"/>
                <w:lang w:eastAsia="de-DE"/>
              </w:rPr>
            </w:pPr>
          </w:p>
          <w:p w:rsidR="00BC3AA1" w:rsidRPr="00BC3AA1" w:rsidRDefault="00BC3AA1" w:rsidP="00BC3AA1">
            <w:pPr>
              <w:spacing w:before="100" w:beforeAutospacing="1" w:after="100" w:afterAutospacing="1" w:line="240" w:lineRule="auto"/>
              <w:outlineLvl w:val="2"/>
              <w:rPr>
                <w:rFonts w:ascii="Times New Roman" w:eastAsia="Times New Roman" w:hAnsi="Times New Roman"/>
                <w:b/>
                <w:bCs/>
                <w:sz w:val="27"/>
                <w:szCs w:val="27"/>
                <w:lang w:eastAsia="de-DE"/>
              </w:rPr>
            </w:pPr>
            <w:r w:rsidRPr="00BC3AA1">
              <w:rPr>
                <w:rFonts w:ascii="Times New Roman" w:eastAsia="Times New Roman" w:hAnsi="Times New Roman"/>
                <w:b/>
                <w:bCs/>
                <w:sz w:val="27"/>
                <w:szCs w:val="27"/>
                <w:lang w:eastAsia="de-DE"/>
              </w:rPr>
              <w:lastRenderedPageBreak/>
              <w:t xml:space="preserve">§ 13 Vergütung des Insolvenzverwalters im Verbraucherinsolvenzverfahren </w:t>
            </w:r>
          </w:p>
          <w:p w:rsidR="00BC3AA1" w:rsidRPr="00C216A1" w:rsidRDefault="00BC3AA1" w:rsidP="00637C8E">
            <w:pPr>
              <w:spacing w:after="0" w:line="240" w:lineRule="auto"/>
              <w:rPr>
                <w:rFonts w:ascii="Arial" w:hAnsi="Arial" w:cs="Arial"/>
                <w:sz w:val="48"/>
                <w:szCs w:val="48"/>
              </w:rPr>
            </w:pPr>
            <w:r>
              <w:t xml:space="preserve">Werden in einem Verfahren nach dem Neunten Teil der Insolvenzordnung die Unterlagen nach § 305 Absatz 1 Nummer 3 der Insolvenzordnung von einer geeigneten Person oder Stelle erstellt, ermäßigt sich die Vergütung nach § 2 Absatz 2 Satz 1 auf </w:t>
            </w:r>
            <w:r w:rsidRPr="002F1983">
              <w:rPr>
                <w:rStyle w:val="happ"/>
                <w:color w:val="FF0000"/>
              </w:rPr>
              <w:t xml:space="preserve">1.120 </w:t>
            </w:r>
            <w:r>
              <w:t>Euro.</w:t>
            </w:r>
          </w:p>
          <w:p w:rsidR="002F1983" w:rsidRPr="00C216A1" w:rsidRDefault="002F1983" w:rsidP="00637C8E">
            <w:pPr>
              <w:spacing w:after="0" w:line="240" w:lineRule="auto"/>
              <w:rPr>
                <w:rFonts w:ascii="Arial" w:hAnsi="Arial" w:cs="Arial"/>
                <w:sz w:val="48"/>
                <w:szCs w:val="48"/>
              </w:rPr>
            </w:pPr>
          </w:p>
          <w:p w:rsidR="002F1983" w:rsidRPr="002F1983" w:rsidRDefault="002F1983" w:rsidP="002F1983">
            <w:pPr>
              <w:spacing w:before="100" w:beforeAutospacing="1" w:after="100" w:afterAutospacing="1" w:line="240" w:lineRule="auto"/>
              <w:outlineLvl w:val="2"/>
              <w:rPr>
                <w:rFonts w:ascii="Times New Roman" w:eastAsia="Times New Roman" w:hAnsi="Times New Roman"/>
                <w:b/>
                <w:bCs/>
                <w:sz w:val="27"/>
                <w:szCs w:val="27"/>
                <w:lang w:eastAsia="de-DE"/>
              </w:rPr>
            </w:pPr>
            <w:r w:rsidRPr="002F1983">
              <w:rPr>
                <w:rFonts w:ascii="Times New Roman" w:eastAsia="Times New Roman" w:hAnsi="Times New Roman"/>
                <w:b/>
                <w:bCs/>
                <w:sz w:val="27"/>
                <w:szCs w:val="27"/>
                <w:lang w:eastAsia="de-DE"/>
              </w:rPr>
              <w:t xml:space="preserve">§ 14 Grundsatz </w:t>
            </w:r>
          </w:p>
          <w:p w:rsidR="002F1983" w:rsidRDefault="002F1983" w:rsidP="00637C8E">
            <w:pPr>
              <w:spacing w:after="0" w:line="240" w:lineRule="auto"/>
            </w:pPr>
            <w:r>
              <w:t>(2) Der Treuhänder erhält</w:t>
            </w:r>
          </w:p>
          <w:p w:rsidR="002F1983" w:rsidRDefault="002F1983" w:rsidP="00637C8E">
            <w:pPr>
              <w:spacing w:after="0" w:line="240" w:lineRule="auto"/>
            </w:pPr>
          </w:p>
          <w:p w:rsidR="002F1983" w:rsidRDefault="002F1983" w:rsidP="00637C8E">
            <w:pPr>
              <w:spacing w:after="0" w:line="240" w:lineRule="auto"/>
            </w:pPr>
            <w:r>
              <w:t xml:space="preserve">1. von den ersten </w:t>
            </w:r>
            <w:r w:rsidRPr="002F1983">
              <w:rPr>
                <w:rStyle w:val="happ"/>
                <w:color w:val="FF0000"/>
              </w:rPr>
              <w:t xml:space="preserve">35.000 </w:t>
            </w:r>
            <w:r>
              <w:t xml:space="preserve">Euro 5 vom Hundert, </w:t>
            </w:r>
            <w:r>
              <w:br/>
            </w:r>
            <w:r>
              <w:br/>
              <w:t xml:space="preserve">2. von dem Mehrbetrag bis </w:t>
            </w:r>
            <w:r w:rsidRPr="002F1983">
              <w:rPr>
                <w:rStyle w:val="happ"/>
                <w:color w:val="FF0000"/>
              </w:rPr>
              <w:t xml:space="preserve">70.000 </w:t>
            </w:r>
            <w:r>
              <w:t>Euro 3 vom Hundert und</w:t>
            </w:r>
          </w:p>
          <w:p w:rsidR="002F1983" w:rsidRDefault="002F1983" w:rsidP="00637C8E">
            <w:pPr>
              <w:spacing w:after="0" w:line="240" w:lineRule="auto"/>
            </w:pPr>
          </w:p>
          <w:p w:rsidR="002F1983" w:rsidRDefault="002F1983" w:rsidP="00637C8E">
            <w:pPr>
              <w:spacing w:after="0" w:line="240" w:lineRule="auto"/>
            </w:pPr>
            <w:r>
              <w:t>3. von dem darüber hinausgehenden Betrag 1 vom Hundert.</w:t>
            </w:r>
          </w:p>
          <w:p w:rsidR="00392CDE" w:rsidRDefault="00392CDE" w:rsidP="00637C8E">
            <w:pPr>
              <w:spacing w:after="0" w:line="240" w:lineRule="auto"/>
            </w:pPr>
          </w:p>
          <w:p w:rsidR="00392CDE" w:rsidRDefault="00392CDE" w:rsidP="00637C8E">
            <w:pPr>
              <w:spacing w:after="0" w:line="240" w:lineRule="auto"/>
            </w:pPr>
            <w:r>
              <w:t xml:space="preserve">(3) </w:t>
            </w:r>
            <w:r>
              <w:rPr>
                <w:rStyle w:val="satz"/>
                <w:color w:val="000000"/>
              </w:rPr>
              <w:t>1</w:t>
            </w:r>
            <w:r>
              <w:t xml:space="preserve"> Die Vergütung beträgt mindestens </w:t>
            </w:r>
            <w:r w:rsidRPr="00392CDE">
              <w:rPr>
                <w:rStyle w:val="happ"/>
                <w:color w:val="FF0000"/>
              </w:rPr>
              <w:t>140</w:t>
            </w:r>
            <w:r>
              <w:rPr>
                <w:rStyle w:val="happ"/>
              </w:rPr>
              <w:t xml:space="preserve"> </w:t>
            </w:r>
            <w:r>
              <w:t xml:space="preserve">Euro für jedes Jahr der Tätigkeit des Treuhänders. </w:t>
            </w:r>
            <w:r>
              <w:rPr>
                <w:rStyle w:val="satz"/>
                <w:color w:val="000000"/>
              </w:rPr>
              <w:t>2</w:t>
            </w:r>
            <w:r>
              <w:t xml:space="preserve"> Hat er die durch Abtretung eingehenden Beträge an mehr als 5 Gläubiger verteilt, so erhöht sich diese Vergütung je 5 Gläubiger um </w:t>
            </w:r>
            <w:r w:rsidRPr="00392CDE">
              <w:rPr>
                <w:rStyle w:val="happ"/>
                <w:color w:val="FF0000"/>
              </w:rPr>
              <w:t xml:space="preserve">70 </w:t>
            </w:r>
            <w:r>
              <w:t>Euro.</w:t>
            </w:r>
          </w:p>
          <w:p w:rsidR="00334EC3" w:rsidRDefault="00334EC3" w:rsidP="00334EC3">
            <w:pPr>
              <w:pStyle w:val="berschrift3"/>
            </w:pPr>
            <w:r>
              <w:t xml:space="preserve">§ 15 Überwachung der Obliegenheiten des Schuldners </w:t>
            </w:r>
          </w:p>
          <w:p w:rsidR="00334EC3" w:rsidRDefault="00334EC3" w:rsidP="00637C8E">
            <w:pPr>
              <w:spacing w:after="0" w:line="240" w:lineRule="auto"/>
            </w:pPr>
            <w:r>
              <w:t xml:space="preserve">(1) </w:t>
            </w:r>
            <w:r>
              <w:rPr>
                <w:rStyle w:val="satz"/>
                <w:color w:val="000000"/>
              </w:rPr>
              <w:t>1</w:t>
            </w:r>
            <w:r>
              <w:t xml:space="preserve"> Hat der Treuhänder die Aufgabe, die Erfüllung der Obliegenheiten des Schuldners zu überwachen (§ 292 Abs. 2 der Insolvenzordnung), so erhält er eine zusätzliche Vergütung. </w:t>
            </w:r>
            <w:r>
              <w:rPr>
                <w:rStyle w:val="satz"/>
                <w:color w:val="000000"/>
              </w:rPr>
              <w:t>2</w:t>
            </w:r>
            <w:r>
              <w:t xml:space="preserve"> Diese beträgt regelmäßig </w:t>
            </w:r>
            <w:r w:rsidRPr="00334EC3">
              <w:rPr>
                <w:rStyle w:val="hdel"/>
                <w:color w:val="FF0000"/>
              </w:rPr>
              <w:t xml:space="preserve">50 </w:t>
            </w:r>
            <w:r>
              <w:t>Euro je Stunde.</w:t>
            </w:r>
          </w:p>
          <w:p w:rsidR="00334EC3" w:rsidRDefault="00334EC3" w:rsidP="00637C8E">
            <w:pPr>
              <w:spacing w:after="0" w:line="240" w:lineRule="auto"/>
            </w:pPr>
          </w:p>
          <w:p w:rsidR="00334EC3" w:rsidRDefault="00334EC3" w:rsidP="00334EC3">
            <w:pPr>
              <w:pStyle w:val="berschrift3"/>
            </w:pPr>
            <w:r>
              <w:lastRenderedPageBreak/>
              <w:t xml:space="preserve">§ 17 Berechnung der Vergütung </w:t>
            </w:r>
          </w:p>
          <w:p w:rsidR="00334EC3" w:rsidRDefault="00334EC3" w:rsidP="00637C8E">
            <w:pPr>
              <w:spacing w:after="0" w:line="240" w:lineRule="auto"/>
            </w:pPr>
            <w:r>
              <w:t xml:space="preserve">(1) </w:t>
            </w:r>
            <w:r>
              <w:rPr>
                <w:rStyle w:val="satz"/>
                <w:color w:val="000000"/>
              </w:rPr>
              <w:t>1</w:t>
            </w:r>
            <w:r>
              <w:t xml:space="preserve"> Die Vergütung der Mitglieder des Gläubigerausschusses beträgt regelmäßig zwischen </w:t>
            </w:r>
            <w:r w:rsidRPr="00334EC3">
              <w:rPr>
                <w:rStyle w:val="happ"/>
                <w:color w:val="FF0000"/>
              </w:rPr>
              <w:t xml:space="preserve">50 </w:t>
            </w:r>
            <w:r w:rsidRPr="00334EC3">
              <w:rPr>
                <w:color w:val="FF0000"/>
              </w:rPr>
              <w:t xml:space="preserve">und </w:t>
            </w:r>
            <w:r w:rsidRPr="00334EC3">
              <w:rPr>
                <w:rStyle w:val="happ"/>
                <w:color w:val="FF0000"/>
              </w:rPr>
              <w:t xml:space="preserve">300 </w:t>
            </w:r>
            <w:r>
              <w:t xml:space="preserve">Euro je Stunde. </w:t>
            </w:r>
            <w:r>
              <w:rPr>
                <w:rStyle w:val="satz"/>
                <w:color w:val="000000"/>
              </w:rPr>
              <w:t>2</w:t>
            </w:r>
            <w:r>
              <w:t xml:space="preserve"> Bei der Festsetzung des Stundensatzes </w:t>
            </w:r>
            <w:r>
              <w:rPr>
                <w:rStyle w:val="happ"/>
              </w:rPr>
              <w:t xml:space="preserve">sind </w:t>
            </w:r>
            <w:r>
              <w:t xml:space="preserve">insbesondere der Umfang der Tätigkeit </w:t>
            </w:r>
            <w:r w:rsidRPr="00334EC3">
              <w:rPr>
                <w:rStyle w:val="happ"/>
                <w:color w:val="FF0000"/>
              </w:rPr>
              <w:t>und die berufliche Qualifikation des Ausschussmitglieds</w:t>
            </w:r>
            <w:r>
              <w:rPr>
                <w:rStyle w:val="happ"/>
              </w:rPr>
              <w:t xml:space="preserve"> </w:t>
            </w:r>
            <w:r>
              <w:t xml:space="preserve">zu berücksichtigen. </w:t>
            </w:r>
            <w:r>
              <w:br/>
            </w:r>
            <w:r>
              <w:br/>
              <w:t xml:space="preserve">(2) </w:t>
            </w:r>
            <w:r>
              <w:rPr>
                <w:rStyle w:val="satz"/>
                <w:color w:val="000000"/>
              </w:rPr>
              <w:t>1</w:t>
            </w:r>
            <w:r>
              <w:t xml:space="preserve"> Die Vergütung der Mitglieder des vorläufigen Gläubigerausschusses für die Erfüllung der ihm nach § 56a und § </w:t>
            </w:r>
            <w:r>
              <w:rPr>
                <w:rStyle w:val="happ"/>
              </w:rPr>
              <w:t xml:space="preserve">270b </w:t>
            </w:r>
            <w:r>
              <w:t xml:space="preserve">Absatz 3 der Insolvenzordnung zugewiesenen Aufgaben beträgt einmalig </w:t>
            </w:r>
            <w:r w:rsidRPr="00334EC3">
              <w:rPr>
                <w:rStyle w:val="happ"/>
                <w:color w:val="FF0000"/>
              </w:rPr>
              <w:t xml:space="preserve">500 </w:t>
            </w:r>
            <w:r>
              <w:t xml:space="preserve">Euro. </w:t>
            </w:r>
            <w:r>
              <w:rPr>
                <w:rStyle w:val="satz"/>
                <w:color w:val="000000"/>
              </w:rPr>
              <w:t>2</w:t>
            </w:r>
            <w:r>
              <w:t xml:space="preserve"> Nach der Bestellung eines vorläufigen Insolvenzverwalters oder eines vorläufigen Sachwalters richtet sich die weitere Vergütung nach Absatz 1.</w:t>
            </w:r>
          </w:p>
          <w:p w:rsidR="002F1983" w:rsidRDefault="002F1983" w:rsidP="00637C8E">
            <w:pPr>
              <w:spacing w:after="0" w:line="240" w:lineRule="auto"/>
            </w:pPr>
          </w:p>
          <w:p w:rsidR="00CF63FB" w:rsidRDefault="00CF63FB" w:rsidP="00CF63FB">
            <w:pPr>
              <w:pStyle w:val="berschrift3"/>
            </w:pPr>
            <w:r>
              <w:t xml:space="preserve">§ 19 Übergangsregelung </w:t>
            </w:r>
          </w:p>
          <w:p w:rsidR="00F17586" w:rsidRPr="006A01E2" w:rsidRDefault="00F17586" w:rsidP="00637C8E">
            <w:pPr>
              <w:spacing w:after="0" w:line="240" w:lineRule="auto"/>
              <w:rPr>
                <w:rStyle w:val="happ"/>
                <w:color w:val="7030A0"/>
                <w14:textOutline w14:w="0" w14:cap="flat" w14:cmpd="sng" w14:algn="ctr">
                  <w14:noFill/>
                  <w14:prstDash w14:val="solid"/>
                  <w14:round/>
                </w14:textOutline>
              </w:rPr>
            </w:pPr>
          </w:p>
          <w:p w:rsidR="007B5E4C" w:rsidRPr="006A01E2" w:rsidRDefault="007B5E4C" w:rsidP="007B5E4C">
            <w:pPr>
              <w:spacing w:after="0" w:line="240" w:lineRule="auto"/>
              <w:rPr>
                <w:rStyle w:val="happ"/>
                <w:color w:val="7030A0"/>
                <w14:textOutline w14:w="0" w14:cap="flat" w14:cmpd="sng" w14:algn="ctr">
                  <w14:noFill/>
                  <w14:prstDash w14:val="solid"/>
                  <w14:round/>
                </w14:textOutline>
              </w:rPr>
            </w:pPr>
            <w:r w:rsidRPr="006A01E2">
              <w:rPr>
                <w:rStyle w:val="happ"/>
                <w:color w:val="7030A0"/>
                <w14:textOutline w14:w="0" w14:cap="flat" w14:cmpd="sng" w14:algn="ctr">
                  <w14:noFill/>
                  <w14:prstDash w14:val="solid"/>
                  <w14:round/>
                </w14:textOutline>
              </w:rPr>
              <w:t>(5) Auf Insolvenzverfahren, die vor dem 1. Oktober 2020 beantragt worden sind, sind die Vorschriften</w:t>
            </w:r>
            <w:r w:rsidR="003C0E77" w:rsidRPr="006A01E2">
              <w:rPr>
                <w:rStyle w:val="happ"/>
                <w:color w:val="7030A0"/>
                <w14:textOutline w14:w="0" w14:cap="flat" w14:cmpd="sng" w14:algn="ctr">
                  <w14:noFill/>
                  <w14:prstDash w14:val="solid"/>
                  <w14:round/>
                </w14:textOutline>
              </w:rPr>
              <w:t xml:space="preserve"> </w:t>
            </w:r>
            <w:r w:rsidRPr="006A01E2">
              <w:rPr>
                <w:rStyle w:val="happ"/>
                <w:color w:val="7030A0"/>
                <w14:textOutline w14:w="0" w14:cap="flat" w14:cmpd="sng" w14:algn="ctr">
                  <w14:noFill/>
                  <w14:prstDash w14:val="solid"/>
                  <w14:round/>
                </w14:textOutline>
              </w:rPr>
              <w:t>dieser Verordnung in ihrer bis dahin geltenden Fassung weiter anzuwenden</w:t>
            </w:r>
            <w:r w:rsidR="00362A03" w:rsidRPr="006A01E2">
              <w:rPr>
                <w:rStyle w:val="Funotenzeichen"/>
                <w:color w:val="7030A0"/>
                <w14:textOutline w14:w="0" w14:cap="flat" w14:cmpd="sng" w14:algn="ctr">
                  <w14:noFill/>
                  <w14:prstDash w14:val="solid"/>
                  <w14:round/>
                </w14:textOutline>
              </w:rPr>
              <w:footnoteReference w:id="1"/>
            </w:r>
          </w:p>
          <w:p w:rsidR="007B5E4C" w:rsidRPr="006A01E2" w:rsidRDefault="007B5E4C" w:rsidP="00637C8E">
            <w:pPr>
              <w:spacing w:after="0" w:line="240" w:lineRule="auto"/>
              <w:rPr>
                <w:rStyle w:val="happ"/>
                <w:color w:val="7030A0"/>
                <w14:textOutline w14:w="0" w14:cap="flat" w14:cmpd="sng" w14:algn="ctr">
                  <w14:noFill/>
                  <w14:prstDash w14:val="solid"/>
                  <w14:round/>
                </w14:textOutline>
              </w:rPr>
            </w:pPr>
          </w:p>
          <w:p w:rsidR="00EE30D6" w:rsidRPr="006A01E2" w:rsidRDefault="00EE30D6" w:rsidP="00EE30D6">
            <w:pPr>
              <w:spacing w:after="0" w:line="240" w:lineRule="auto"/>
              <w:rPr>
                <w:rStyle w:val="happ"/>
                <w:color w:val="7030A0"/>
                <w14:textOutline w14:w="0" w14:cap="flat" w14:cmpd="sng" w14:algn="ctr">
                  <w14:noFill/>
                  <w14:prstDash w14:val="solid"/>
                  <w14:round/>
                </w14:textOutline>
              </w:rPr>
            </w:pPr>
            <w:r w:rsidRPr="006A01E2">
              <w:rPr>
                <w:rStyle w:val="happ"/>
                <w:color w:val="7030A0"/>
                <w14:textOutline w14:w="0" w14:cap="flat" w14:cmpd="sng" w14:algn="ctr">
                  <w14:noFill/>
                  <w14:prstDash w14:val="solid"/>
                  <w14:round/>
                </w14:textOutline>
              </w:rPr>
              <w:t>(5) Auf Insolvenzverfahren, die vor dem 1. Januar 2021 beantragt worden sind, sind die bis zum 31. Dezember 2020 geltenden Vorschriften anzuwenden</w:t>
            </w:r>
            <w:r w:rsidRPr="006A01E2">
              <w:rPr>
                <w:rStyle w:val="Funotenzeichen"/>
                <w:color w:val="7030A0"/>
                <w14:textOutline w14:w="0" w14:cap="flat" w14:cmpd="sng" w14:algn="ctr">
                  <w14:noFill/>
                  <w14:prstDash w14:val="solid"/>
                  <w14:round/>
                </w14:textOutline>
              </w:rPr>
              <w:footnoteReference w:id="2"/>
            </w:r>
            <w:r w:rsidRPr="006A01E2">
              <w:rPr>
                <w:rStyle w:val="happ"/>
                <w:color w:val="7030A0"/>
                <w14:textOutline w14:w="0" w14:cap="flat" w14:cmpd="sng" w14:algn="ctr">
                  <w14:noFill/>
                  <w14:prstDash w14:val="solid"/>
                  <w14:round/>
                </w14:textOutline>
              </w:rPr>
              <w:t>.</w:t>
            </w:r>
          </w:p>
          <w:p w:rsidR="007B5E4C" w:rsidRDefault="007B5E4C" w:rsidP="00637C8E">
            <w:pPr>
              <w:spacing w:after="0" w:line="240" w:lineRule="auto"/>
              <w:rPr>
                <w:rFonts w:ascii="Arial" w:hAnsi="Arial" w:cs="Arial"/>
                <w:sz w:val="48"/>
                <w:szCs w:val="48"/>
              </w:rPr>
            </w:pPr>
          </w:p>
        </w:tc>
      </w:tr>
    </w:tbl>
    <w:p w:rsidR="00F17586" w:rsidRDefault="00F17586"/>
    <w:p w:rsidR="00F17586" w:rsidRDefault="00F17586">
      <w:proofErr w:type="spellStart"/>
      <w:r>
        <w:lastRenderedPageBreak/>
        <w:t>Vergurkte</w:t>
      </w:r>
      <w:proofErr w:type="spellEnd"/>
      <w:r>
        <w:t xml:space="preserve"> </w:t>
      </w:r>
      <w:proofErr w:type="gramStart"/>
      <w:r>
        <w:t>Übergangsregelung ?</w:t>
      </w:r>
      <w:proofErr w:type="gramEnd"/>
    </w:p>
    <w:p w:rsidR="00451371" w:rsidRDefault="00F17586" w:rsidP="00EE30D6">
      <w:r w:rsidRPr="00F17586">
        <w:t xml:space="preserve">Mit dem </w:t>
      </w:r>
      <w:proofErr w:type="spellStart"/>
      <w:r w:rsidRPr="00F17586">
        <w:t>SanInsFoG</w:t>
      </w:r>
      <w:proofErr w:type="spellEnd"/>
      <w:r w:rsidRPr="00F17586">
        <w:t xml:space="preserve"> ist die (kleine) Reform der InsVV verabschiedet. Dem § </w:t>
      </w:r>
      <w:hyperlink r:id="rId7" w:tgtFrame="_blank" w:tooltip="§ 19 InsVV: Übergangsregelung" w:history="1">
        <w:r w:rsidRPr="00F17586">
          <w:rPr>
            <w:color w:val="0000FF"/>
            <w:u w:val="single"/>
          </w:rPr>
          <w:t>19</w:t>
        </w:r>
      </w:hyperlink>
      <w:r w:rsidRPr="00F17586">
        <w:t xml:space="preserve"> InsVV wurde folgender Absatz 5 angefügt:</w:t>
      </w:r>
      <w:r w:rsidRPr="00F17586">
        <w:br/>
      </w:r>
      <w:r w:rsidRPr="00F17586">
        <w:br/>
      </w:r>
      <w:r w:rsidRPr="00F17586">
        <w:rPr>
          <w:rFonts w:ascii="&amp;quot" w:hAnsi="&amp;quot"/>
        </w:rPr>
        <w:t xml:space="preserve">(5) Auf Insolvenzverfahren, die vor dem </w:t>
      </w:r>
      <w:r w:rsidRPr="00F17586">
        <w:rPr>
          <w:rFonts w:ascii="&amp;quot" w:hAnsi="&amp;quot"/>
          <w:color w:val="FF0000"/>
        </w:rPr>
        <w:t xml:space="preserve">1. Januar 2021 </w:t>
      </w:r>
      <w:r w:rsidRPr="00F17586">
        <w:rPr>
          <w:rFonts w:ascii="&amp;quot" w:hAnsi="&amp;quot"/>
        </w:rPr>
        <w:t>beantragt worden sind, sind die bis zum 31. Dezember 2020 geltenden Vorschriften</w:t>
      </w:r>
      <w:r w:rsidRPr="00F17586">
        <w:t xml:space="preserve">. (vgl. Art. 6 Nr. 12. </w:t>
      </w:r>
      <w:proofErr w:type="spellStart"/>
      <w:r w:rsidRPr="00F17586">
        <w:t>SanInsFoG</w:t>
      </w:r>
      <w:proofErr w:type="spellEnd"/>
      <w:r w:rsidRPr="00F17586">
        <w:t>):</w:t>
      </w:r>
      <w:r w:rsidRPr="00F17586">
        <w:br/>
      </w:r>
      <w:r w:rsidRPr="00F17586">
        <w:br/>
        <w:t>Mit dem später in Kraft getretenen Gesetz zur weiteren Verkürzung usw. erfolgte noch eine kleine Änderung der InsVV bzgl. Berechnungsgrundlage bei Fremdeinbringungs</w:t>
      </w:r>
      <w:r w:rsidR="003B58E2">
        <w:t>f</w:t>
      </w:r>
      <w:r w:rsidRPr="00F17586">
        <w:t>ällen.</w:t>
      </w:r>
      <w:r w:rsidRPr="00F17586">
        <w:br/>
        <w:t>Die Übergangsregelung lautet wie folgt:</w:t>
      </w:r>
      <w:r w:rsidRPr="00F17586">
        <w:br/>
        <w:t>Dem § 19 wird folgender Absatz 5 angefügt:</w:t>
      </w:r>
      <w:r w:rsidRPr="00F17586">
        <w:br/>
      </w:r>
      <w:r w:rsidRPr="00F17586">
        <w:rPr>
          <w:rFonts w:ascii="&amp;quot" w:hAnsi="&amp;quot"/>
        </w:rPr>
        <w:t xml:space="preserve">(5) Auf Insolvenzverfahren, die vor dem </w:t>
      </w:r>
      <w:r w:rsidRPr="00F17586">
        <w:rPr>
          <w:rFonts w:ascii="&amp;quot" w:hAnsi="&amp;quot"/>
          <w:color w:val="1F4E79"/>
        </w:rPr>
        <w:t xml:space="preserve">1. Oktober 2020 </w:t>
      </w:r>
      <w:r w:rsidRPr="00F17586">
        <w:rPr>
          <w:rFonts w:ascii="&amp;quot" w:hAnsi="&amp;quot"/>
        </w:rPr>
        <w:t xml:space="preserve">beantragt worden sind, sind die Vorschriften dieser Verordnung in ihrer bis dahin geltenden Fassung weiter anzuwenden. (vgl. </w:t>
      </w:r>
      <w:r w:rsidRPr="00F17586">
        <w:t>A</w:t>
      </w:r>
      <w:r w:rsidRPr="00F17586">
        <w:rPr>
          <w:rFonts w:ascii="&amp;quot" w:hAnsi="&amp;quot"/>
        </w:rPr>
        <w:t>rt. 4 Nr.2 des Gesetzes zur weiteren Verkürzung usw.).</w:t>
      </w:r>
      <w:r w:rsidRPr="00F17586">
        <w:rPr>
          <w:rFonts w:ascii="&amp;quot" w:hAnsi="&amp;quot"/>
        </w:rPr>
        <w:br/>
      </w:r>
      <w:r w:rsidRPr="00F17586">
        <w:rPr>
          <w:rFonts w:ascii="&amp;quot" w:hAnsi="&amp;quot"/>
        </w:rPr>
        <w:br/>
      </w:r>
      <w:r w:rsidR="00883216">
        <w:t xml:space="preserve">Da der Gesetzgeber durch das später </w:t>
      </w:r>
      <w:proofErr w:type="gramStart"/>
      <w:r w:rsidR="00883216">
        <w:t>erlassenen</w:t>
      </w:r>
      <w:proofErr w:type="gramEnd"/>
      <w:r w:rsidR="00883216">
        <w:t xml:space="preserve"> Gesetz wohl kaum die Änderung des Abs. 5 des </w:t>
      </w:r>
      <w:proofErr w:type="spellStart"/>
      <w:r w:rsidR="00883216">
        <w:t>SanInsfog</w:t>
      </w:r>
      <w:proofErr w:type="spellEnd"/>
      <w:r w:rsidR="00883216">
        <w:t xml:space="preserve"> derogieren wollte, ist m.E. für die „Vergütungsreform“ der 1.1.2021 maßgeblich. Bezüglich des weiteren ABs.5 bezieht sich dieser nur auf die Änderung der Berechnungsgrundlage bei sog. Fremdeinbringungsfällen.</w:t>
      </w:r>
    </w:p>
    <w:p w:rsidR="00883216" w:rsidRDefault="00883216" w:rsidP="00EE30D6">
      <w:bookmarkStart w:id="0" w:name="_GoBack"/>
      <w:bookmarkEnd w:id="0"/>
    </w:p>
    <w:sectPr w:rsidR="00883216" w:rsidSect="00D8416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552" w:rsidRDefault="003A7552" w:rsidP="00362A03">
      <w:pPr>
        <w:spacing w:after="0" w:line="240" w:lineRule="auto"/>
      </w:pPr>
      <w:r>
        <w:separator/>
      </w:r>
    </w:p>
  </w:endnote>
  <w:endnote w:type="continuationSeparator" w:id="0">
    <w:p w:rsidR="003A7552" w:rsidRDefault="003A7552" w:rsidP="0036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552" w:rsidRDefault="003A7552" w:rsidP="00362A03">
      <w:pPr>
        <w:spacing w:after="0" w:line="240" w:lineRule="auto"/>
      </w:pPr>
      <w:r>
        <w:separator/>
      </w:r>
    </w:p>
  </w:footnote>
  <w:footnote w:type="continuationSeparator" w:id="0">
    <w:p w:rsidR="003A7552" w:rsidRDefault="003A7552" w:rsidP="00362A03">
      <w:pPr>
        <w:spacing w:after="0" w:line="240" w:lineRule="auto"/>
      </w:pPr>
      <w:r>
        <w:continuationSeparator/>
      </w:r>
    </w:p>
  </w:footnote>
  <w:footnote w:id="1">
    <w:p w:rsidR="00362A03" w:rsidRDefault="00362A03">
      <w:pPr>
        <w:pStyle w:val="Funotentext"/>
      </w:pPr>
      <w:r>
        <w:rPr>
          <w:rStyle w:val="Funotenzeichen"/>
        </w:rPr>
        <w:footnoteRef/>
      </w:r>
      <w:r>
        <w:t xml:space="preserve"> Übergangsregelung durch das später erlassene Gesetz zur weiteren</w:t>
      </w:r>
      <w:r w:rsidR="009B7616">
        <w:t xml:space="preserve"> V</w:t>
      </w:r>
      <w:r>
        <w:t>erkürzung des Restschuldbefreiungsverfahrens …</w:t>
      </w:r>
      <w:r w:rsidR="004909F6">
        <w:t xml:space="preserve"> Art. 4 Nr.2 </w:t>
      </w:r>
      <w:r w:rsidR="00822853">
        <w:t>; Inkrafttreten: 1. Oktober 2020</w:t>
      </w:r>
    </w:p>
  </w:footnote>
  <w:footnote w:id="2">
    <w:p w:rsidR="00EE30D6" w:rsidRDefault="00EE30D6" w:rsidP="00EE30D6">
      <w:pPr>
        <w:pStyle w:val="Funotentext"/>
      </w:pPr>
      <w:r>
        <w:rPr>
          <w:rStyle w:val="Funotenzeichen"/>
        </w:rPr>
        <w:footnoteRef/>
      </w:r>
      <w:r>
        <w:t xml:space="preserve"> Übergangsregelung durch Art. 6  Nr. 12. </w:t>
      </w:r>
      <w:proofErr w:type="spellStart"/>
      <w:r>
        <w:t>SanInsFoG</w:t>
      </w:r>
      <w:proofErr w:type="spellEnd"/>
      <w:r>
        <w:t>; Inkrafttreten: 1. Januar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61"/>
    <w:rsid w:val="0005380A"/>
    <w:rsid w:val="00277A1F"/>
    <w:rsid w:val="002F1983"/>
    <w:rsid w:val="00334EC3"/>
    <w:rsid w:val="00362A03"/>
    <w:rsid w:val="00392CDE"/>
    <w:rsid w:val="003A7552"/>
    <w:rsid w:val="003B58E2"/>
    <w:rsid w:val="003C0E77"/>
    <w:rsid w:val="00451371"/>
    <w:rsid w:val="004909F6"/>
    <w:rsid w:val="00494801"/>
    <w:rsid w:val="0055761B"/>
    <w:rsid w:val="00566555"/>
    <w:rsid w:val="005A58D1"/>
    <w:rsid w:val="00637C8E"/>
    <w:rsid w:val="00637E90"/>
    <w:rsid w:val="006A01E2"/>
    <w:rsid w:val="007B5E4C"/>
    <w:rsid w:val="00822853"/>
    <w:rsid w:val="00867B79"/>
    <w:rsid w:val="00883216"/>
    <w:rsid w:val="008A4874"/>
    <w:rsid w:val="009B7616"/>
    <w:rsid w:val="00AC059D"/>
    <w:rsid w:val="00B81EAF"/>
    <w:rsid w:val="00B87A9D"/>
    <w:rsid w:val="00BC3AA1"/>
    <w:rsid w:val="00C216A1"/>
    <w:rsid w:val="00C25206"/>
    <w:rsid w:val="00CF63FB"/>
    <w:rsid w:val="00D84161"/>
    <w:rsid w:val="00DE5283"/>
    <w:rsid w:val="00E01B79"/>
    <w:rsid w:val="00EE30D6"/>
    <w:rsid w:val="00F17586"/>
    <w:rsid w:val="00FA537B"/>
    <w:rsid w:val="00FE6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BB3E2-B4D5-41EE-A6A3-9E44BE33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4161"/>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637E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BC3AA1"/>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84161"/>
    <w:rPr>
      <w:color w:val="0000FF"/>
      <w:u w:val="single"/>
    </w:rPr>
  </w:style>
  <w:style w:type="character" w:customStyle="1" w:styleId="fontstyle01">
    <w:name w:val="fontstyle01"/>
    <w:basedOn w:val="Absatz-Standardschriftart"/>
    <w:rsid w:val="00D84161"/>
    <w:rPr>
      <w:rFonts w:ascii="Times New Roman" w:hAnsi="Times New Roman" w:cs="Times New Roman" w:hint="default"/>
      <w:b w:val="0"/>
      <w:bCs w:val="0"/>
      <w:i w:val="0"/>
      <w:iCs w:val="0"/>
      <w:color w:val="000000"/>
      <w:sz w:val="22"/>
      <w:szCs w:val="22"/>
    </w:rPr>
  </w:style>
  <w:style w:type="character" w:customStyle="1" w:styleId="hdel">
    <w:name w:val="hdel"/>
    <w:basedOn w:val="Absatz-Standardschriftart"/>
    <w:rsid w:val="00637C8E"/>
  </w:style>
  <w:style w:type="character" w:customStyle="1" w:styleId="satz">
    <w:name w:val="satz"/>
    <w:basedOn w:val="Absatz-Standardschriftart"/>
    <w:rsid w:val="00637C8E"/>
  </w:style>
  <w:style w:type="character" w:customStyle="1" w:styleId="happ">
    <w:name w:val="happ"/>
    <w:basedOn w:val="Absatz-Standardschriftart"/>
    <w:rsid w:val="00637C8E"/>
  </w:style>
  <w:style w:type="character" w:customStyle="1" w:styleId="berschrift3Zchn">
    <w:name w:val="Überschrift 3 Zchn"/>
    <w:basedOn w:val="Absatz-Standardschriftart"/>
    <w:link w:val="berschrift3"/>
    <w:uiPriority w:val="9"/>
    <w:rsid w:val="00BC3AA1"/>
    <w:rPr>
      <w:rFonts w:ascii="Times New Roman" w:eastAsia="Times New Roman" w:hAnsi="Times New Roman" w:cs="Times New Roman"/>
      <w:b/>
      <w:bCs/>
      <w:sz w:val="27"/>
      <w:szCs w:val="27"/>
      <w:lang w:eastAsia="de-DE"/>
    </w:rPr>
  </w:style>
  <w:style w:type="character" w:customStyle="1" w:styleId="berschrift1Zchn">
    <w:name w:val="Überschrift 1 Zchn"/>
    <w:basedOn w:val="Absatz-Standardschriftart"/>
    <w:link w:val="berschrift1"/>
    <w:uiPriority w:val="9"/>
    <w:rsid w:val="00637E90"/>
    <w:rPr>
      <w:rFonts w:asciiTheme="majorHAnsi" w:eastAsiaTheme="majorEastAsia" w:hAnsiTheme="majorHAnsi" w:cstheme="majorBidi"/>
      <w:color w:val="2E74B5" w:themeColor="accent1" w:themeShade="BF"/>
      <w:sz w:val="32"/>
      <w:szCs w:val="32"/>
    </w:rPr>
  </w:style>
  <w:style w:type="paragraph" w:styleId="Funotentext">
    <w:name w:val="footnote text"/>
    <w:basedOn w:val="Standard"/>
    <w:link w:val="FunotentextZchn"/>
    <w:uiPriority w:val="99"/>
    <w:semiHidden/>
    <w:unhideWhenUsed/>
    <w:rsid w:val="00362A0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2A03"/>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362A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9184">
      <w:bodyDiv w:val="1"/>
      <w:marLeft w:val="0"/>
      <w:marRight w:val="0"/>
      <w:marTop w:val="0"/>
      <w:marBottom w:val="0"/>
      <w:divBdr>
        <w:top w:val="none" w:sz="0" w:space="0" w:color="auto"/>
        <w:left w:val="none" w:sz="0" w:space="0" w:color="auto"/>
        <w:bottom w:val="none" w:sz="0" w:space="0" w:color="auto"/>
        <w:right w:val="none" w:sz="0" w:space="0" w:color="auto"/>
      </w:divBdr>
    </w:div>
    <w:div w:id="179322613">
      <w:bodyDiv w:val="1"/>
      <w:marLeft w:val="0"/>
      <w:marRight w:val="0"/>
      <w:marTop w:val="0"/>
      <w:marBottom w:val="0"/>
      <w:divBdr>
        <w:top w:val="none" w:sz="0" w:space="0" w:color="auto"/>
        <w:left w:val="none" w:sz="0" w:space="0" w:color="auto"/>
        <w:bottom w:val="none" w:sz="0" w:space="0" w:color="auto"/>
        <w:right w:val="none" w:sz="0" w:space="0" w:color="auto"/>
      </w:divBdr>
    </w:div>
    <w:div w:id="359208337">
      <w:bodyDiv w:val="1"/>
      <w:marLeft w:val="0"/>
      <w:marRight w:val="0"/>
      <w:marTop w:val="0"/>
      <w:marBottom w:val="0"/>
      <w:divBdr>
        <w:top w:val="none" w:sz="0" w:space="0" w:color="auto"/>
        <w:left w:val="none" w:sz="0" w:space="0" w:color="auto"/>
        <w:bottom w:val="none" w:sz="0" w:space="0" w:color="auto"/>
        <w:right w:val="none" w:sz="0" w:space="0" w:color="auto"/>
      </w:divBdr>
    </w:div>
    <w:div w:id="383607078">
      <w:bodyDiv w:val="1"/>
      <w:marLeft w:val="0"/>
      <w:marRight w:val="0"/>
      <w:marTop w:val="0"/>
      <w:marBottom w:val="0"/>
      <w:divBdr>
        <w:top w:val="none" w:sz="0" w:space="0" w:color="auto"/>
        <w:left w:val="none" w:sz="0" w:space="0" w:color="auto"/>
        <w:bottom w:val="none" w:sz="0" w:space="0" w:color="auto"/>
        <w:right w:val="none" w:sz="0" w:space="0" w:color="auto"/>
      </w:divBdr>
    </w:div>
    <w:div w:id="387268646">
      <w:bodyDiv w:val="1"/>
      <w:marLeft w:val="0"/>
      <w:marRight w:val="0"/>
      <w:marTop w:val="0"/>
      <w:marBottom w:val="0"/>
      <w:divBdr>
        <w:top w:val="none" w:sz="0" w:space="0" w:color="auto"/>
        <w:left w:val="none" w:sz="0" w:space="0" w:color="auto"/>
        <w:bottom w:val="none" w:sz="0" w:space="0" w:color="auto"/>
        <w:right w:val="none" w:sz="0" w:space="0" w:color="auto"/>
      </w:divBdr>
    </w:div>
    <w:div w:id="420875049">
      <w:bodyDiv w:val="1"/>
      <w:marLeft w:val="0"/>
      <w:marRight w:val="0"/>
      <w:marTop w:val="0"/>
      <w:marBottom w:val="0"/>
      <w:divBdr>
        <w:top w:val="none" w:sz="0" w:space="0" w:color="auto"/>
        <w:left w:val="none" w:sz="0" w:space="0" w:color="auto"/>
        <w:bottom w:val="none" w:sz="0" w:space="0" w:color="auto"/>
        <w:right w:val="none" w:sz="0" w:space="0" w:color="auto"/>
      </w:divBdr>
    </w:div>
    <w:div w:id="486437280">
      <w:bodyDiv w:val="1"/>
      <w:marLeft w:val="0"/>
      <w:marRight w:val="0"/>
      <w:marTop w:val="0"/>
      <w:marBottom w:val="0"/>
      <w:divBdr>
        <w:top w:val="none" w:sz="0" w:space="0" w:color="auto"/>
        <w:left w:val="none" w:sz="0" w:space="0" w:color="auto"/>
        <w:bottom w:val="none" w:sz="0" w:space="0" w:color="auto"/>
        <w:right w:val="none" w:sz="0" w:space="0" w:color="auto"/>
      </w:divBdr>
    </w:div>
    <w:div w:id="616646329">
      <w:bodyDiv w:val="1"/>
      <w:marLeft w:val="0"/>
      <w:marRight w:val="0"/>
      <w:marTop w:val="0"/>
      <w:marBottom w:val="0"/>
      <w:divBdr>
        <w:top w:val="none" w:sz="0" w:space="0" w:color="auto"/>
        <w:left w:val="none" w:sz="0" w:space="0" w:color="auto"/>
        <w:bottom w:val="none" w:sz="0" w:space="0" w:color="auto"/>
        <w:right w:val="none" w:sz="0" w:space="0" w:color="auto"/>
      </w:divBdr>
    </w:div>
    <w:div w:id="641543273">
      <w:bodyDiv w:val="1"/>
      <w:marLeft w:val="0"/>
      <w:marRight w:val="0"/>
      <w:marTop w:val="0"/>
      <w:marBottom w:val="0"/>
      <w:divBdr>
        <w:top w:val="none" w:sz="0" w:space="0" w:color="auto"/>
        <w:left w:val="none" w:sz="0" w:space="0" w:color="auto"/>
        <w:bottom w:val="none" w:sz="0" w:space="0" w:color="auto"/>
        <w:right w:val="none" w:sz="0" w:space="0" w:color="auto"/>
      </w:divBdr>
    </w:div>
    <w:div w:id="694965193">
      <w:bodyDiv w:val="1"/>
      <w:marLeft w:val="0"/>
      <w:marRight w:val="0"/>
      <w:marTop w:val="0"/>
      <w:marBottom w:val="0"/>
      <w:divBdr>
        <w:top w:val="none" w:sz="0" w:space="0" w:color="auto"/>
        <w:left w:val="none" w:sz="0" w:space="0" w:color="auto"/>
        <w:bottom w:val="none" w:sz="0" w:space="0" w:color="auto"/>
        <w:right w:val="none" w:sz="0" w:space="0" w:color="auto"/>
      </w:divBdr>
    </w:div>
    <w:div w:id="772821568">
      <w:bodyDiv w:val="1"/>
      <w:marLeft w:val="0"/>
      <w:marRight w:val="0"/>
      <w:marTop w:val="0"/>
      <w:marBottom w:val="0"/>
      <w:divBdr>
        <w:top w:val="none" w:sz="0" w:space="0" w:color="auto"/>
        <w:left w:val="none" w:sz="0" w:space="0" w:color="auto"/>
        <w:bottom w:val="none" w:sz="0" w:space="0" w:color="auto"/>
        <w:right w:val="none" w:sz="0" w:space="0" w:color="auto"/>
      </w:divBdr>
    </w:div>
    <w:div w:id="806314268">
      <w:bodyDiv w:val="1"/>
      <w:marLeft w:val="0"/>
      <w:marRight w:val="0"/>
      <w:marTop w:val="0"/>
      <w:marBottom w:val="0"/>
      <w:divBdr>
        <w:top w:val="none" w:sz="0" w:space="0" w:color="auto"/>
        <w:left w:val="none" w:sz="0" w:space="0" w:color="auto"/>
        <w:bottom w:val="none" w:sz="0" w:space="0" w:color="auto"/>
        <w:right w:val="none" w:sz="0" w:space="0" w:color="auto"/>
      </w:divBdr>
    </w:div>
    <w:div w:id="857161386">
      <w:bodyDiv w:val="1"/>
      <w:marLeft w:val="0"/>
      <w:marRight w:val="0"/>
      <w:marTop w:val="0"/>
      <w:marBottom w:val="0"/>
      <w:divBdr>
        <w:top w:val="none" w:sz="0" w:space="0" w:color="auto"/>
        <w:left w:val="none" w:sz="0" w:space="0" w:color="auto"/>
        <w:bottom w:val="none" w:sz="0" w:space="0" w:color="auto"/>
        <w:right w:val="none" w:sz="0" w:space="0" w:color="auto"/>
      </w:divBdr>
    </w:div>
    <w:div w:id="863788804">
      <w:bodyDiv w:val="1"/>
      <w:marLeft w:val="0"/>
      <w:marRight w:val="0"/>
      <w:marTop w:val="0"/>
      <w:marBottom w:val="0"/>
      <w:divBdr>
        <w:top w:val="none" w:sz="0" w:space="0" w:color="auto"/>
        <w:left w:val="none" w:sz="0" w:space="0" w:color="auto"/>
        <w:bottom w:val="none" w:sz="0" w:space="0" w:color="auto"/>
        <w:right w:val="none" w:sz="0" w:space="0" w:color="auto"/>
      </w:divBdr>
    </w:div>
    <w:div w:id="867837758">
      <w:bodyDiv w:val="1"/>
      <w:marLeft w:val="0"/>
      <w:marRight w:val="0"/>
      <w:marTop w:val="0"/>
      <w:marBottom w:val="0"/>
      <w:divBdr>
        <w:top w:val="none" w:sz="0" w:space="0" w:color="auto"/>
        <w:left w:val="none" w:sz="0" w:space="0" w:color="auto"/>
        <w:bottom w:val="none" w:sz="0" w:space="0" w:color="auto"/>
        <w:right w:val="none" w:sz="0" w:space="0" w:color="auto"/>
      </w:divBdr>
    </w:div>
    <w:div w:id="903953349">
      <w:bodyDiv w:val="1"/>
      <w:marLeft w:val="0"/>
      <w:marRight w:val="0"/>
      <w:marTop w:val="0"/>
      <w:marBottom w:val="0"/>
      <w:divBdr>
        <w:top w:val="none" w:sz="0" w:space="0" w:color="auto"/>
        <w:left w:val="none" w:sz="0" w:space="0" w:color="auto"/>
        <w:bottom w:val="none" w:sz="0" w:space="0" w:color="auto"/>
        <w:right w:val="none" w:sz="0" w:space="0" w:color="auto"/>
      </w:divBdr>
    </w:div>
    <w:div w:id="962685933">
      <w:bodyDiv w:val="1"/>
      <w:marLeft w:val="0"/>
      <w:marRight w:val="0"/>
      <w:marTop w:val="0"/>
      <w:marBottom w:val="0"/>
      <w:divBdr>
        <w:top w:val="none" w:sz="0" w:space="0" w:color="auto"/>
        <w:left w:val="none" w:sz="0" w:space="0" w:color="auto"/>
        <w:bottom w:val="none" w:sz="0" w:space="0" w:color="auto"/>
        <w:right w:val="none" w:sz="0" w:space="0" w:color="auto"/>
      </w:divBdr>
    </w:div>
    <w:div w:id="1291740046">
      <w:bodyDiv w:val="1"/>
      <w:marLeft w:val="0"/>
      <w:marRight w:val="0"/>
      <w:marTop w:val="0"/>
      <w:marBottom w:val="0"/>
      <w:divBdr>
        <w:top w:val="none" w:sz="0" w:space="0" w:color="auto"/>
        <w:left w:val="none" w:sz="0" w:space="0" w:color="auto"/>
        <w:bottom w:val="none" w:sz="0" w:space="0" w:color="auto"/>
        <w:right w:val="none" w:sz="0" w:space="0" w:color="auto"/>
      </w:divBdr>
      <w:divsChild>
        <w:div w:id="1893805544">
          <w:marLeft w:val="0"/>
          <w:marRight w:val="0"/>
          <w:marTop w:val="0"/>
          <w:marBottom w:val="0"/>
          <w:divBdr>
            <w:top w:val="none" w:sz="0" w:space="0" w:color="auto"/>
            <w:left w:val="none" w:sz="0" w:space="0" w:color="auto"/>
            <w:bottom w:val="none" w:sz="0" w:space="0" w:color="auto"/>
            <w:right w:val="none" w:sz="0" w:space="0" w:color="auto"/>
          </w:divBdr>
          <w:divsChild>
            <w:div w:id="609511846">
              <w:marLeft w:val="0"/>
              <w:marRight w:val="0"/>
              <w:marTop w:val="0"/>
              <w:marBottom w:val="0"/>
              <w:divBdr>
                <w:top w:val="none" w:sz="0" w:space="0" w:color="auto"/>
                <w:left w:val="none" w:sz="0" w:space="0" w:color="auto"/>
                <w:bottom w:val="none" w:sz="0" w:space="0" w:color="auto"/>
                <w:right w:val="none" w:sz="0" w:space="0" w:color="auto"/>
              </w:divBdr>
            </w:div>
            <w:div w:id="867446172">
              <w:marLeft w:val="0"/>
              <w:marRight w:val="0"/>
              <w:marTop w:val="0"/>
              <w:marBottom w:val="0"/>
              <w:divBdr>
                <w:top w:val="none" w:sz="0" w:space="0" w:color="auto"/>
                <w:left w:val="none" w:sz="0" w:space="0" w:color="auto"/>
                <w:bottom w:val="none" w:sz="0" w:space="0" w:color="auto"/>
                <w:right w:val="none" w:sz="0" w:space="0" w:color="auto"/>
              </w:divBdr>
            </w:div>
            <w:div w:id="1624532235">
              <w:marLeft w:val="0"/>
              <w:marRight w:val="0"/>
              <w:marTop w:val="0"/>
              <w:marBottom w:val="0"/>
              <w:divBdr>
                <w:top w:val="none" w:sz="0" w:space="0" w:color="auto"/>
                <w:left w:val="none" w:sz="0" w:space="0" w:color="auto"/>
                <w:bottom w:val="none" w:sz="0" w:space="0" w:color="auto"/>
                <w:right w:val="none" w:sz="0" w:space="0" w:color="auto"/>
              </w:divBdr>
            </w:div>
            <w:div w:id="2051565064">
              <w:marLeft w:val="0"/>
              <w:marRight w:val="0"/>
              <w:marTop w:val="0"/>
              <w:marBottom w:val="0"/>
              <w:divBdr>
                <w:top w:val="none" w:sz="0" w:space="0" w:color="auto"/>
                <w:left w:val="none" w:sz="0" w:space="0" w:color="auto"/>
                <w:bottom w:val="none" w:sz="0" w:space="0" w:color="auto"/>
                <w:right w:val="none" w:sz="0" w:space="0" w:color="auto"/>
              </w:divBdr>
            </w:div>
            <w:div w:id="1531839997">
              <w:marLeft w:val="0"/>
              <w:marRight w:val="0"/>
              <w:marTop w:val="0"/>
              <w:marBottom w:val="0"/>
              <w:divBdr>
                <w:top w:val="none" w:sz="0" w:space="0" w:color="auto"/>
                <w:left w:val="none" w:sz="0" w:space="0" w:color="auto"/>
                <w:bottom w:val="none" w:sz="0" w:space="0" w:color="auto"/>
                <w:right w:val="none" w:sz="0" w:space="0" w:color="auto"/>
              </w:divBdr>
            </w:div>
            <w:div w:id="1051154119">
              <w:marLeft w:val="0"/>
              <w:marRight w:val="0"/>
              <w:marTop w:val="0"/>
              <w:marBottom w:val="0"/>
              <w:divBdr>
                <w:top w:val="none" w:sz="0" w:space="0" w:color="auto"/>
                <w:left w:val="none" w:sz="0" w:space="0" w:color="auto"/>
                <w:bottom w:val="none" w:sz="0" w:space="0" w:color="auto"/>
                <w:right w:val="none" w:sz="0" w:space="0" w:color="auto"/>
              </w:divBdr>
            </w:div>
            <w:div w:id="572547272">
              <w:marLeft w:val="0"/>
              <w:marRight w:val="0"/>
              <w:marTop w:val="0"/>
              <w:marBottom w:val="0"/>
              <w:divBdr>
                <w:top w:val="none" w:sz="0" w:space="0" w:color="auto"/>
                <w:left w:val="none" w:sz="0" w:space="0" w:color="auto"/>
                <w:bottom w:val="none" w:sz="0" w:space="0" w:color="auto"/>
                <w:right w:val="none" w:sz="0" w:space="0" w:color="auto"/>
              </w:divBdr>
            </w:div>
            <w:div w:id="126703159">
              <w:marLeft w:val="0"/>
              <w:marRight w:val="0"/>
              <w:marTop w:val="0"/>
              <w:marBottom w:val="0"/>
              <w:divBdr>
                <w:top w:val="none" w:sz="0" w:space="0" w:color="auto"/>
                <w:left w:val="none" w:sz="0" w:space="0" w:color="auto"/>
                <w:bottom w:val="none" w:sz="0" w:space="0" w:color="auto"/>
                <w:right w:val="none" w:sz="0" w:space="0" w:color="auto"/>
              </w:divBdr>
            </w:div>
            <w:div w:id="794641075">
              <w:marLeft w:val="0"/>
              <w:marRight w:val="0"/>
              <w:marTop w:val="0"/>
              <w:marBottom w:val="0"/>
              <w:divBdr>
                <w:top w:val="none" w:sz="0" w:space="0" w:color="auto"/>
                <w:left w:val="none" w:sz="0" w:space="0" w:color="auto"/>
                <w:bottom w:val="none" w:sz="0" w:space="0" w:color="auto"/>
                <w:right w:val="none" w:sz="0" w:space="0" w:color="auto"/>
              </w:divBdr>
            </w:div>
          </w:divsChild>
        </w:div>
        <w:div w:id="1109475581">
          <w:marLeft w:val="0"/>
          <w:marRight w:val="0"/>
          <w:marTop w:val="0"/>
          <w:marBottom w:val="0"/>
          <w:divBdr>
            <w:top w:val="none" w:sz="0" w:space="0" w:color="auto"/>
            <w:left w:val="none" w:sz="0" w:space="0" w:color="auto"/>
            <w:bottom w:val="none" w:sz="0" w:space="0" w:color="auto"/>
            <w:right w:val="none" w:sz="0" w:space="0" w:color="auto"/>
          </w:divBdr>
        </w:div>
      </w:divsChild>
    </w:div>
    <w:div w:id="1686058254">
      <w:bodyDiv w:val="1"/>
      <w:marLeft w:val="0"/>
      <w:marRight w:val="0"/>
      <w:marTop w:val="0"/>
      <w:marBottom w:val="0"/>
      <w:divBdr>
        <w:top w:val="none" w:sz="0" w:space="0" w:color="auto"/>
        <w:left w:val="none" w:sz="0" w:space="0" w:color="auto"/>
        <w:bottom w:val="none" w:sz="0" w:space="0" w:color="auto"/>
        <w:right w:val="none" w:sz="0" w:space="0" w:color="auto"/>
      </w:divBdr>
    </w:div>
    <w:div w:id="1794866718">
      <w:bodyDiv w:val="1"/>
      <w:marLeft w:val="0"/>
      <w:marRight w:val="0"/>
      <w:marTop w:val="0"/>
      <w:marBottom w:val="0"/>
      <w:divBdr>
        <w:top w:val="none" w:sz="0" w:space="0" w:color="auto"/>
        <w:left w:val="none" w:sz="0" w:space="0" w:color="auto"/>
        <w:bottom w:val="none" w:sz="0" w:space="0" w:color="auto"/>
        <w:right w:val="none" w:sz="0" w:space="0" w:color="auto"/>
      </w:divBdr>
    </w:div>
    <w:div w:id="1967928088">
      <w:bodyDiv w:val="1"/>
      <w:marLeft w:val="0"/>
      <w:marRight w:val="0"/>
      <w:marTop w:val="0"/>
      <w:marBottom w:val="0"/>
      <w:divBdr>
        <w:top w:val="none" w:sz="0" w:space="0" w:color="auto"/>
        <w:left w:val="none" w:sz="0" w:space="0" w:color="auto"/>
        <w:bottom w:val="none" w:sz="0" w:space="0" w:color="auto"/>
        <w:right w:val="none" w:sz="0" w:space="0" w:color="auto"/>
      </w:divBdr>
    </w:div>
    <w:div w:id="1971209870">
      <w:bodyDiv w:val="1"/>
      <w:marLeft w:val="0"/>
      <w:marRight w:val="0"/>
      <w:marTop w:val="0"/>
      <w:marBottom w:val="0"/>
      <w:divBdr>
        <w:top w:val="none" w:sz="0" w:space="0" w:color="auto"/>
        <w:left w:val="none" w:sz="0" w:space="0" w:color="auto"/>
        <w:bottom w:val="none" w:sz="0" w:space="0" w:color="auto"/>
        <w:right w:val="none" w:sz="0" w:space="0" w:color="auto"/>
      </w:divBdr>
    </w:div>
    <w:div w:id="199479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jure.org/gesetze/InsVV/1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97A1C-AE78-4F8B-B959-CC637E8D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1658</Words>
  <Characters>10448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dada</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Erdmann</dc:creator>
  <cp:keywords/>
  <dc:description/>
  <cp:lastModifiedBy>Lutz Erdmann</cp:lastModifiedBy>
  <cp:revision>5</cp:revision>
  <dcterms:created xsi:type="dcterms:W3CDTF">2021-01-08T13:47:00Z</dcterms:created>
  <dcterms:modified xsi:type="dcterms:W3CDTF">2021-01-12T21:19:00Z</dcterms:modified>
</cp:coreProperties>
</file>