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71" w:rsidRDefault="007F74C7">
      <w:r>
        <w:rPr>
          <w:noProof/>
          <w:lang w:eastAsia="de-DE"/>
        </w:rPr>
        <mc:AlternateContent>
          <mc:Choice Requires="wps">
            <w:drawing>
              <wp:anchor distT="0" distB="0" distL="114300" distR="114300" simplePos="0" relativeHeight="251658240" behindDoc="0" locked="0" layoutInCell="1" allowOverlap="1">
                <wp:simplePos x="0" y="0"/>
                <wp:positionH relativeFrom="page">
                  <wp:posOffset>697230</wp:posOffset>
                </wp:positionH>
                <wp:positionV relativeFrom="paragraph">
                  <wp:posOffset>12700</wp:posOffset>
                </wp:positionV>
                <wp:extent cx="5473700" cy="723900"/>
                <wp:effectExtent l="0" t="0" r="12700" b="19050"/>
                <wp:wrapNone/>
                <wp:docPr id="3" name="Rahm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0" cy="723900"/>
                        </a:xfrm>
                        <a:prstGeom prst="bevel">
                          <a:avLst/>
                        </a:prstGeom>
                        <a:solidFill>
                          <a:srgbClr val="5B9BD5"/>
                        </a:solidFill>
                        <a:ln w="12700" cap="flat" cmpd="sng" algn="ctr">
                          <a:solidFill>
                            <a:srgbClr val="5B9BD5">
                              <a:shade val="50000"/>
                            </a:srgbClr>
                          </a:solidFill>
                          <a:prstDash val="solid"/>
                          <a:miter lim="800000"/>
                        </a:ln>
                        <a:effectLst/>
                      </wps:spPr>
                      <wps:txbx>
                        <w:txbxContent>
                          <w:p w:rsidR="007F74C7" w:rsidRPr="00A547B7" w:rsidRDefault="007F74C7" w:rsidP="007F74C7">
                            <w:pPr>
                              <w:jc w:val="center"/>
                              <w:rPr>
                                <w:sz w:val="28"/>
                                <w:szCs w:val="28"/>
                              </w:rPr>
                            </w:pPr>
                            <w:r>
                              <w:rPr>
                                <w:sz w:val="28"/>
                                <w:szCs w:val="28"/>
                              </w:rPr>
                              <w:t>Kostenrechtsänderungen zum 1.1.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3" o:spid="_x0000_s1026" type="#_x0000_t84" style="position:absolute;margin-left:54.9pt;margin-top:1pt;width:431pt;height: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ASiAIAADQFAAAOAAAAZHJzL2Uyb0RvYy54bWysVEtv2zAMvg/YfxB0X53n0hp1irRBhwFB&#10;W6wdemZkORam1yQldvfrS8lOk3Q9DfNBIE3qI/mR1OVVqyTZceeF0QUdng0o4ZqZUuhNQX8+3X45&#10;p8QH0CVIo3lBX7inV/PPny4bm/ORqY0suSMIon3e2ILWIdg8yzyruQJ/ZizXaKyMUxBQdZusdNAg&#10;upLZaDD4mjXGldYZxr3Hv8vOSOcJv6o4C/dV5XkgsqCYW0inS+c6ntn8EvKNA1sL1qcB/5CFAqEx&#10;6BvUEgKQrRN/QSnBnPGmCmfMqMxUlWA81YDVDAfvqnmswfJUC5Lj7RtN/v/BsrvdgyOiLOiYEg0K&#10;W/QDasU1GUduGutzdHm0Dy5W5+3KsF8eDdmJJSq+92krp6Iv1kbaRPTLG9G8DYThz+lkNp4NsB8M&#10;bbPR+ALlCAr5/rZ1PnzjRpEoFHTNd1wmgmG38qHz3fukzIwU5a2QMilus76RjuwAuz69vrheTnt4&#10;f+wmNWlwZkddJoDTV0kImJSyyIfXG0pAbnCsWXAp9slt/0GQFLyGkvehB/jtI3fuqcgTnFjFEnzd&#10;XUmmeAVyJQKuhhSqoOcRaI8kdbTyNNw9Fwf+oxTadYsIUVyb8gX760w3+N6yW4HxVuDDAzicdOwB&#10;bm+4x6OSBukwvURJbdyfj/5HfxxAtFLS4OYgVb+34Dgl8rvG0bwYTiZx1ZIymc5GqLhjy/rYorfq&#10;xmCbhvhOWJbE6B/kXqycUc+45IsYFU2gGcbumtIrN6HbaHwmGF8skhuul4Ww0o+WRfBIWWT6qX0G&#10;Z/upCjiPd2a/ZZC/m63ON97UZrENphJp8A689muAq5na2j8jcfeP9eR1eOzmrwAAAP//AwBQSwME&#10;FAAGAAgAAAAhAB6V3qXbAAAACQEAAA8AAABkcnMvZG93bnJldi54bWxMj8FOwzAQRO9I/IO1SNyo&#10;nQoFEuJUqBVcUVsu3Jx4iUPjdRS7Tfh7lhMcn2Y1+6baLH4QF5xiH0hDtlIgkNpge+o0vB9f7h5B&#10;xGTImiEQavjGCJv6+qoypQ0z7fFySJ3gEoql0eBSGkspY+vQm7gKIxJnn2HyJjFOnbSTmbncD3Kt&#10;VC696Yk/ODPi1mF7Opy9hnzef+3G0+6tuXd0bD9C0Wxfrda3N8vzE4iES/o7hl99VoeanZpwJhvF&#10;wKwKVk8a1jyJ8+IhY244yHIFsq7k/wX1DwAAAP//AwBQSwECLQAUAAYACAAAACEAtoM4kv4AAADh&#10;AQAAEwAAAAAAAAAAAAAAAAAAAAAAW0NvbnRlbnRfVHlwZXNdLnhtbFBLAQItABQABgAIAAAAIQA4&#10;/SH/1gAAAJQBAAALAAAAAAAAAAAAAAAAAC8BAABfcmVscy8ucmVsc1BLAQItABQABgAIAAAAIQCI&#10;KyASiAIAADQFAAAOAAAAAAAAAAAAAAAAAC4CAABkcnMvZTJvRG9jLnhtbFBLAQItABQABgAIAAAA&#10;IQAeld6l2wAAAAkBAAAPAAAAAAAAAAAAAAAAAOIEAABkcnMvZG93bnJldi54bWxQSwUGAAAAAAQA&#10;BADzAAAA6gUAAAAA&#10;" fillcolor="#5b9bd5" strokecolor="#41719c" strokeweight="1pt">
                <v:path arrowok="t"/>
                <v:textbox>
                  <w:txbxContent>
                    <w:p w:rsidR="007F74C7" w:rsidRPr="00A547B7" w:rsidRDefault="007F74C7" w:rsidP="007F74C7">
                      <w:pPr>
                        <w:jc w:val="center"/>
                        <w:rPr>
                          <w:sz w:val="28"/>
                          <w:szCs w:val="28"/>
                        </w:rPr>
                      </w:pPr>
                      <w:r>
                        <w:rPr>
                          <w:sz w:val="28"/>
                          <w:szCs w:val="28"/>
                        </w:rPr>
                        <w:t>Kostenrechtsänderungen zum 1.1. 2021</w:t>
                      </w:r>
                    </w:p>
                  </w:txbxContent>
                </v:textbox>
                <w10:wrap anchorx="page"/>
              </v:shape>
            </w:pict>
          </mc:Fallback>
        </mc:AlternateContent>
      </w:r>
    </w:p>
    <w:p w:rsidR="0036161D" w:rsidRDefault="0036161D"/>
    <w:p w:rsidR="0036161D" w:rsidRDefault="0036161D"/>
    <w:p w:rsidR="003C0D89" w:rsidRDefault="003C0D89"/>
    <w:p w:rsidR="0036161D" w:rsidRPr="00CF1E2F" w:rsidRDefault="0036161D">
      <w:pPr>
        <w:rPr>
          <w:b/>
        </w:rPr>
      </w:pPr>
      <w:r w:rsidRPr="00CF1E2F">
        <w:rPr>
          <w:b/>
        </w:rPr>
        <w:t>A. Vorbemerkung</w:t>
      </w:r>
    </w:p>
    <w:p w:rsidR="0036161D" w:rsidRDefault="0036161D">
      <w:r>
        <w:t>Vor Jahresschluss ist ein ganzes Bündel neuer Gesetze im BGBL verkündet worden.</w:t>
      </w:r>
    </w:p>
    <w:p w:rsidR="0036161D" w:rsidRDefault="0036161D">
      <w:r>
        <w:t>Für den Insolvenzbereich ganz wesentliche Änderungen sind durch folgende Gesetze erfolgt:</w:t>
      </w:r>
    </w:p>
    <w:p w:rsidR="00902EA7" w:rsidRDefault="00902EA7"/>
    <w:p w:rsidR="0036161D" w:rsidRDefault="00902EA7">
      <w:r w:rsidRPr="00902EA7">
        <w:t xml:space="preserve">Kostenrechtsänderungsgesetz 2021 - </w:t>
      </w:r>
      <w:proofErr w:type="spellStart"/>
      <w:r w:rsidRPr="00902EA7">
        <w:t>KostRÄG</w:t>
      </w:r>
      <w:proofErr w:type="spellEnd"/>
      <w:r w:rsidRPr="00902EA7">
        <w:t xml:space="preserve"> 2021</w:t>
      </w:r>
      <w:r>
        <w:t xml:space="preserve"> v. 21.12.2020 BGBL I 2020, S. 3229</w:t>
      </w:r>
    </w:p>
    <w:p w:rsidR="00902EA7" w:rsidRDefault="00902EA7">
      <w:r w:rsidRPr="00902EA7">
        <w:t xml:space="preserve">Gesetz zur Fortentwicklung des Sanierungs- und Insolvenzrechts (Sanierungs- und Insolvenzrechtsfortentwicklungsgesetz – </w:t>
      </w:r>
      <w:proofErr w:type="spellStart"/>
      <w:r w:rsidRPr="00902EA7">
        <w:t>SanInsFoG</w:t>
      </w:r>
      <w:proofErr w:type="spellEnd"/>
      <w:r w:rsidRPr="00902EA7">
        <w:t>)</w:t>
      </w:r>
      <w:r>
        <w:t xml:space="preserve"> v. 22.12.2020 BGBL I 2020 S. 3256</w:t>
      </w:r>
    </w:p>
    <w:p w:rsidR="00E82700" w:rsidRDefault="00E82700"/>
    <w:p w:rsidR="0036161D" w:rsidRDefault="00902EA7">
      <w:r w:rsidRPr="00902EA7">
        <w:t>Gesetz zur weiteren Verkürzung des Restschuldbefreiungsverfahrens und zur Anpassung pandemiebedingter Vorschriften im Gesellschafts-, Genossenschafts-, Vereins- und Stiftungsrecht sowie im Miet- und Pachtrecht*</w:t>
      </w:r>
      <w:r>
        <w:t xml:space="preserve"> v. 22.12.2020 BGBL I 2020 S. 3328</w:t>
      </w:r>
    </w:p>
    <w:p w:rsidR="00902EA7" w:rsidRDefault="00E82700">
      <w:r>
        <w:t xml:space="preserve">Neben der Einführung des Restrukturierungsverfahrens durch das </w:t>
      </w:r>
      <w:proofErr w:type="spellStart"/>
      <w:r>
        <w:t>SanInsFoG</w:t>
      </w:r>
      <w:proofErr w:type="spellEnd"/>
      <w:r>
        <w:t xml:space="preserve">, welches in einem eigenen Gesetz (dem </w:t>
      </w:r>
      <w:proofErr w:type="spellStart"/>
      <w:r>
        <w:t>StaRUG</w:t>
      </w:r>
      <w:proofErr w:type="spellEnd"/>
      <w:r>
        <w:t>) geregelt wird, erfolgen noch Änderungen der Insolvenzordnung und eine Reihe neuer Gebührentatbestände im GKG, bedingt durch das Restrukturierungsverfahrens.</w:t>
      </w:r>
    </w:p>
    <w:p w:rsidR="00BD5A35" w:rsidRDefault="00BD5A35">
      <w:proofErr w:type="spellStart"/>
      <w:r>
        <w:t>Desweiteren</w:t>
      </w:r>
      <w:proofErr w:type="spellEnd"/>
      <w:r>
        <w:t xml:space="preserve"> sind Änderungen des </w:t>
      </w:r>
      <w:proofErr w:type="spellStart"/>
      <w:r>
        <w:t>Vergütungsrechs</w:t>
      </w:r>
      <w:proofErr w:type="spellEnd"/>
      <w:r>
        <w:t xml:space="preserve"> der </w:t>
      </w:r>
      <w:proofErr w:type="spellStart"/>
      <w:r>
        <w:t>InsVV</w:t>
      </w:r>
      <w:proofErr w:type="spellEnd"/>
      <w:r>
        <w:t xml:space="preserve"> allgemeiner Art und neuer Art durch das Restrukturierungsverfahrens vorgenommen worden.</w:t>
      </w:r>
    </w:p>
    <w:p w:rsidR="00E82700" w:rsidRDefault="00E715F4">
      <w:r>
        <w:t>Das Gesetz zur weiteren Verkürzung des Restschuldbefreiungsverfahrens hat eine Vielzahl von Änderungen der InsO hervorgebracht.</w:t>
      </w:r>
    </w:p>
    <w:p w:rsidR="00E715F4" w:rsidRDefault="00E715F4">
      <w:r>
        <w:t xml:space="preserve">Durch das </w:t>
      </w:r>
      <w:proofErr w:type="spellStart"/>
      <w:r>
        <w:t>KostRÄG</w:t>
      </w:r>
      <w:proofErr w:type="spellEnd"/>
      <w:r>
        <w:t xml:space="preserve"> hat es Änderungen bei den Gebühren der Wertgebühren gebracht, </w:t>
      </w:r>
      <w:proofErr w:type="spellStart"/>
      <w:r>
        <w:t>desweiteren</w:t>
      </w:r>
      <w:proofErr w:type="spellEnd"/>
      <w:r>
        <w:t xml:space="preserve"> sind etliche Festgebühren angehoben worden.</w:t>
      </w:r>
    </w:p>
    <w:p w:rsidR="00E715F4" w:rsidRDefault="00E715F4">
      <w:r>
        <w:t>Eine Synopse zur Änderung durch das Gesetz zur weiteren Verkürzung bezogen auf die InsO werde ich kurzfristig zur Verfügung stellen.</w:t>
      </w:r>
    </w:p>
    <w:p w:rsidR="00E715F4" w:rsidRDefault="00E715F4">
      <w:r>
        <w:t xml:space="preserve">Eine Synopse zur Änderung der InsO durch das </w:t>
      </w:r>
      <w:proofErr w:type="spellStart"/>
      <w:r>
        <w:t>SanInsFoG</w:t>
      </w:r>
      <w:proofErr w:type="spellEnd"/>
      <w:r>
        <w:t xml:space="preserve"> ist in Arbeit und wird auch kurzfristig zur Verfügung gestellt.</w:t>
      </w:r>
    </w:p>
    <w:p w:rsidR="00E715F4" w:rsidRDefault="00E715F4" w:rsidP="00E715F4">
      <w:r>
        <w:t xml:space="preserve">Im </w:t>
      </w:r>
      <w:proofErr w:type="spellStart"/>
      <w:proofErr w:type="gramStart"/>
      <w:r>
        <w:t>folgenden</w:t>
      </w:r>
      <w:proofErr w:type="spellEnd"/>
      <w:proofErr w:type="gramEnd"/>
      <w:r>
        <w:t xml:space="preserve"> werde ich auf die für das Insolvenzgericht relevanten Änderungen des GKG eingehen.</w:t>
      </w:r>
    </w:p>
    <w:p w:rsidR="00902EA7" w:rsidRDefault="00902EA7"/>
    <w:p w:rsidR="003C0D89" w:rsidRDefault="003C0D89"/>
    <w:p w:rsidR="003C0D89" w:rsidRDefault="003C0D89"/>
    <w:p w:rsidR="00E715F4" w:rsidRPr="00CF1E2F" w:rsidRDefault="00E715F4">
      <w:pPr>
        <w:rPr>
          <w:b/>
        </w:rPr>
      </w:pPr>
      <w:r w:rsidRPr="00CF1E2F">
        <w:rPr>
          <w:b/>
        </w:rPr>
        <w:t>B. Änderungen</w:t>
      </w:r>
      <w:r w:rsidR="00257BD9" w:rsidRPr="00CF1E2F">
        <w:rPr>
          <w:b/>
        </w:rPr>
        <w:t xml:space="preserve"> durch das </w:t>
      </w:r>
      <w:proofErr w:type="spellStart"/>
      <w:r w:rsidR="00257BD9" w:rsidRPr="00CF1E2F">
        <w:rPr>
          <w:b/>
        </w:rPr>
        <w:t>KostRÄG</w:t>
      </w:r>
      <w:proofErr w:type="spellEnd"/>
    </w:p>
    <w:p w:rsidR="00257BD9" w:rsidRDefault="00257BD9"/>
    <w:p w:rsidR="00257BD9" w:rsidRPr="00CF1E2F" w:rsidRDefault="00B5045E">
      <w:pPr>
        <w:rPr>
          <w:u w:val="single"/>
        </w:rPr>
      </w:pPr>
      <w:r w:rsidRPr="00CF1E2F">
        <w:rPr>
          <w:u w:val="single"/>
        </w:rPr>
        <w:t>I. Erhöhung der Gebührensätze bei der Werttabelle (Anlage 2 Anlage 2 (zu § 34 Absatz 1 Satz 3)</w:t>
      </w:r>
    </w:p>
    <w:p w:rsidR="00257BD9" w:rsidRDefault="00F60618">
      <w:r>
        <w:rPr>
          <w:rFonts w:cs="Arial"/>
          <w:sz w:val="26"/>
          <w:szCs w:val="26"/>
        </w:rPr>
        <w:t xml:space="preserve">§ 34 Absatz 1 Satz 1 und 2 wird wie folgt </w:t>
      </w:r>
      <w:proofErr w:type="spellStart"/>
      <w:r>
        <w:rPr>
          <w:rFonts w:cs="Arial"/>
          <w:sz w:val="26"/>
          <w:szCs w:val="26"/>
        </w:rPr>
        <w:t>gefasst:„Wenn</w:t>
      </w:r>
      <w:proofErr w:type="spellEnd"/>
      <w:r>
        <w:rPr>
          <w:rFonts w:cs="Arial"/>
          <w:sz w:val="26"/>
          <w:szCs w:val="26"/>
        </w:rPr>
        <w:t xml:space="preserve"> sich die Gebühren nach dem Streitwert richten, beträgt bei einem Streitwert bis 500 Euro die Gebühr</w:t>
      </w:r>
      <w:r w:rsidR="00013833">
        <w:rPr>
          <w:rFonts w:cs="Arial"/>
          <w:sz w:val="26"/>
          <w:szCs w:val="26"/>
        </w:rPr>
        <w:t xml:space="preserve"> </w:t>
      </w:r>
      <w:r>
        <w:rPr>
          <w:rFonts w:cs="Arial"/>
          <w:sz w:val="26"/>
          <w:szCs w:val="26"/>
        </w:rPr>
        <w:t xml:space="preserve">38 Euro. Die Gebühr erhöht sich bei einem Wert </w:t>
      </w:r>
    </w:p>
    <w:p w:rsidR="00257BD9" w:rsidRDefault="00257BD9"/>
    <w:tbl>
      <w:tblPr>
        <w:tblW w:w="4600" w:type="dxa"/>
        <w:tblCellMar>
          <w:left w:w="70" w:type="dxa"/>
          <w:right w:w="70" w:type="dxa"/>
        </w:tblCellMar>
        <w:tblLook w:val="04A0" w:firstRow="1" w:lastRow="0" w:firstColumn="1" w:lastColumn="0" w:noHBand="0" w:noVBand="1"/>
      </w:tblPr>
      <w:tblGrid>
        <w:gridCol w:w="1838"/>
        <w:gridCol w:w="1562"/>
        <w:gridCol w:w="1200"/>
      </w:tblGrid>
      <w:tr w:rsidR="00ED3822" w:rsidRPr="00ED3822" w:rsidTr="00013833">
        <w:trPr>
          <w:trHeight w:val="750"/>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822" w:rsidRPr="00ED3822" w:rsidRDefault="00ED3822" w:rsidP="00ED3822">
            <w:pPr>
              <w:spacing w:after="0" w:line="240" w:lineRule="auto"/>
              <w:rPr>
                <w:rFonts w:eastAsia="Times New Roman" w:cs="Arial"/>
                <w:sz w:val="20"/>
                <w:szCs w:val="20"/>
                <w:lang w:eastAsia="de-DE"/>
              </w:rPr>
            </w:pPr>
            <w:r w:rsidRPr="00ED3822">
              <w:rPr>
                <w:rFonts w:eastAsia="Times New Roman" w:cs="Arial"/>
                <w:sz w:val="20"/>
                <w:szCs w:val="20"/>
                <w:lang w:eastAsia="de-DE"/>
              </w:rPr>
              <w:t>Streitwert bis</w:t>
            </w:r>
            <w:r w:rsidR="00013833">
              <w:rPr>
                <w:rFonts w:eastAsia="Times New Roman" w:cs="Arial"/>
                <w:sz w:val="20"/>
                <w:szCs w:val="20"/>
                <w:lang w:eastAsia="de-DE"/>
              </w:rPr>
              <w:t xml:space="preserve"> … Euro</w:t>
            </w:r>
          </w:p>
        </w:tc>
        <w:tc>
          <w:tcPr>
            <w:tcW w:w="1562" w:type="dxa"/>
            <w:tcBorders>
              <w:top w:val="single" w:sz="4" w:space="0" w:color="auto"/>
              <w:left w:val="nil"/>
              <w:bottom w:val="single" w:sz="4" w:space="0" w:color="auto"/>
              <w:right w:val="single" w:sz="4" w:space="0" w:color="auto"/>
            </w:tcBorders>
            <w:shd w:val="clear" w:color="auto" w:fill="auto"/>
            <w:vAlign w:val="bottom"/>
            <w:hideMark/>
          </w:tcPr>
          <w:p w:rsidR="00ED3822" w:rsidRPr="00ED3822" w:rsidRDefault="00ED3822" w:rsidP="00ED3822">
            <w:pPr>
              <w:spacing w:after="0" w:line="240" w:lineRule="auto"/>
              <w:rPr>
                <w:rFonts w:eastAsia="Times New Roman" w:cs="Arial"/>
                <w:sz w:val="20"/>
                <w:szCs w:val="20"/>
                <w:lang w:eastAsia="de-DE"/>
              </w:rPr>
            </w:pPr>
            <w:r w:rsidRPr="00ED3822">
              <w:rPr>
                <w:rFonts w:eastAsia="Times New Roman" w:cs="Arial"/>
                <w:sz w:val="20"/>
                <w:szCs w:val="20"/>
                <w:lang w:eastAsia="de-DE"/>
              </w:rPr>
              <w:t>für jeden angefangenen Betrag von weiteren</w:t>
            </w:r>
            <w:r w:rsidR="00013833">
              <w:rPr>
                <w:rFonts w:eastAsia="Times New Roman" w:cs="Arial"/>
                <w:sz w:val="20"/>
                <w:szCs w:val="20"/>
                <w:lang w:eastAsia="de-DE"/>
              </w:rPr>
              <w:t xml:space="preserve"> .. Euro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ED3822" w:rsidRPr="00ED3822" w:rsidRDefault="00013833" w:rsidP="00ED3822">
            <w:pPr>
              <w:spacing w:after="0" w:line="240" w:lineRule="auto"/>
              <w:rPr>
                <w:rFonts w:eastAsia="Times New Roman" w:cs="Arial"/>
                <w:sz w:val="20"/>
                <w:szCs w:val="20"/>
                <w:lang w:eastAsia="de-DE"/>
              </w:rPr>
            </w:pPr>
            <w:r w:rsidRPr="00ED3822">
              <w:rPr>
                <w:rFonts w:eastAsia="Times New Roman" w:cs="Arial"/>
                <w:sz w:val="20"/>
                <w:szCs w:val="20"/>
                <w:lang w:eastAsia="de-DE"/>
              </w:rPr>
              <w:t>U</w:t>
            </w:r>
            <w:r w:rsidR="00ED3822" w:rsidRPr="00ED3822">
              <w:rPr>
                <w:rFonts w:eastAsia="Times New Roman" w:cs="Arial"/>
                <w:sz w:val="20"/>
                <w:szCs w:val="20"/>
                <w:lang w:eastAsia="de-DE"/>
              </w:rPr>
              <w:t>m</w:t>
            </w:r>
            <w:r>
              <w:rPr>
                <w:rFonts w:eastAsia="Times New Roman" w:cs="Arial"/>
                <w:sz w:val="20"/>
                <w:szCs w:val="20"/>
                <w:lang w:eastAsia="de-DE"/>
              </w:rPr>
              <w:t xml:space="preserve"> .. Euro</w:t>
            </w:r>
          </w:p>
        </w:tc>
      </w:tr>
      <w:tr w:rsidR="00ED3822" w:rsidRPr="00ED3822" w:rsidTr="00013833">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2000</w:t>
            </w:r>
          </w:p>
        </w:tc>
        <w:tc>
          <w:tcPr>
            <w:tcW w:w="1562"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500</w:t>
            </w:r>
          </w:p>
        </w:tc>
        <w:tc>
          <w:tcPr>
            <w:tcW w:w="1200"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20</w:t>
            </w:r>
          </w:p>
        </w:tc>
      </w:tr>
      <w:tr w:rsidR="00ED3822" w:rsidRPr="00ED3822" w:rsidTr="00013833">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10000</w:t>
            </w:r>
          </w:p>
        </w:tc>
        <w:tc>
          <w:tcPr>
            <w:tcW w:w="1562"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21</w:t>
            </w:r>
          </w:p>
        </w:tc>
      </w:tr>
      <w:tr w:rsidR="00ED3822" w:rsidRPr="00ED3822" w:rsidTr="00013833">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25000</w:t>
            </w:r>
          </w:p>
        </w:tc>
        <w:tc>
          <w:tcPr>
            <w:tcW w:w="1562"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3000</w:t>
            </w:r>
          </w:p>
        </w:tc>
        <w:tc>
          <w:tcPr>
            <w:tcW w:w="1200"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29</w:t>
            </w:r>
          </w:p>
        </w:tc>
      </w:tr>
      <w:tr w:rsidR="00ED3822" w:rsidRPr="00ED3822" w:rsidTr="00013833">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50000</w:t>
            </w:r>
          </w:p>
        </w:tc>
        <w:tc>
          <w:tcPr>
            <w:tcW w:w="1562"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5000</w:t>
            </w:r>
          </w:p>
        </w:tc>
        <w:tc>
          <w:tcPr>
            <w:tcW w:w="1200"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38</w:t>
            </w:r>
          </w:p>
        </w:tc>
      </w:tr>
      <w:tr w:rsidR="00ED3822" w:rsidRPr="00ED3822" w:rsidTr="00013833">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200000</w:t>
            </w:r>
          </w:p>
        </w:tc>
        <w:tc>
          <w:tcPr>
            <w:tcW w:w="1562"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15000</w:t>
            </w:r>
          </w:p>
        </w:tc>
        <w:tc>
          <w:tcPr>
            <w:tcW w:w="1200"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132</w:t>
            </w:r>
          </w:p>
        </w:tc>
      </w:tr>
      <w:tr w:rsidR="00ED3822" w:rsidRPr="00ED3822" w:rsidTr="00013833">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500000</w:t>
            </w:r>
          </w:p>
        </w:tc>
        <w:tc>
          <w:tcPr>
            <w:tcW w:w="1562"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30000</w:t>
            </w:r>
          </w:p>
        </w:tc>
        <w:tc>
          <w:tcPr>
            <w:tcW w:w="1200"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198</w:t>
            </w:r>
          </w:p>
        </w:tc>
      </w:tr>
      <w:tr w:rsidR="00ED3822" w:rsidRPr="00ED3822" w:rsidTr="00013833">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500000</w:t>
            </w:r>
          </w:p>
        </w:tc>
        <w:tc>
          <w:tcPr>
            <w:tcW w:w="1562"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50000</w:t>
            </w:r>
          </w:p>
        </w:tc>
        <w:tc>
          <w:tcPr>
            <w:tcW w:w="1200" w:type="dxa"/>
            <w:tcBorders>
              <w:top w:val="nil"/>
              <w:left w:val="nil"/>
              <w:bottom w:val="single" w:sz="4" w:space="0" w:color="auto"/>
              <w:right w:val="single" w:sz="4" w:space="0" w:color="auto"/>
            </w:tcBorders>
            <w:shd w:val="clear" w:color="auto" w:fill="auto"/>
            <w:noWrap/>
            <w:vAlign w:val="bottom"/>
            <w:hideMark/>
          </w:tcPr>
          <w:p w:rsidR="00ED3822" w:rsidRPr="00ED3822" w:rsidRDefault="00ED3822" w:rsidP="00ED3822">
            <w:pPr>
              <w:spacing w:after="0" w:line="240" w:lineRule="auto"/>
              <w:jc w:val="right"/>
              <w:rPr>
                <w:rFonts w:eastAsia="Times New Roman" w:cs="Arial"/>
                <w:sz w:val="20"/>
                <w:szCs w:val="20"/>
                <w:lang w:eastAsia="de-DE"/>
              </w:rPr>
            </w:pPr>
            <w:r w:rsidRPr="00ED3822">
              <w:rPr>
                <w:rFonts w:eastAsia="Times New Roman" w:cs="Arial"/>
                <w:sz w:val="20"/>
                <w:szCs w:val="20"/>
                <w:lang w:eastAsia="de-DE"/>
              </w:rPr>
              <w:t>198</w:t>
            </w:r>
          </w:p>
        </w:tc>
      </w:tr>
    </w:tbl>
    <w:p w:rsidR="00ED3822" w:rsidRDefault="00ED3822"/>
    <w:p w:rsidR="00ED3822" w:rsidRPr="00CF1E2F" w:rsidRDefault="00667044">
      <w:pPr>
        <w:rPr>
          <w:u w:val="single"/>
        </w:rPr>
      </w:pPr>
      <w:r w:rsidRPr="00CF1E2F">
        <w:rPr>
          <w:u w:val="single"/>
        </w:rPr>
        <w:t>II. Änderung von KV-Nummern:</w:t>
      </w:r>
    </w:p>
    <w:p w:rsidR="00667044" w:rsidRDefault="00667044"/>
    <w:tbl>
      <w:tblPr>
        <w:tblStyle w:val="Tabellenraster"/>
        <w:tblW w:w="0" w:type="auto"/>
        <w:tblLook w:val="04A0" w:firstRow="1" w:lastRow="0" w:firstColumn="1" w:lastColumn="0" w:noHBand="0" w:noVBand="1"/>
      </w:tblPr>
      <w:tblGrid>
        <w:gridCol w:w="1360"/>
        <w:gridCol w:w="4292"/>
        <w:gridCol w:w="1289"/>
      </w:tblGrid>
      <w:tr w:rsidR="00667044" w:rsidRPr="00667044" w:rsidTr="00667044">
        <w:trPr>
          <w:trHeight w:val="255"/>
        </w:trPr>
        <w:tc>
          <w:tcPr>
            <w:tcW w:w="5652" w:type="dxa"/>
            <w:gridSpan w:val="2"/>
            <w:noWrap/>
            <w:hideMark/>
          </w:tcPr>
          <w:p w:rsidR="00667044" w:rsidRPr="00667044" w:rsidRDefault="00667044">
            <w:r w:rsidRPr="00667044">
              <w:t>Änderungen von KV-Nummern:</w:t>
            </w:r>
          </w:p>
        </w:tc>
        <w:tc>
          <w:tcPr>
            <w:tcW w:w="1289" w:type="dxa"/>
            <w:noWrap/>
            <w:hideMark/>
          </w:tcPr>
          <w:p w:rsidR="00667044" w:rsidRPr="00667044" w:rsidRDefault="00667044"/>
        </w:tc>
      </w:tr>
      <w:tr w:rsidR="00667044" w:rsidRPr="00667044" w:rsidTr="00667044">
        <w:trPr>
          <w:trHeight w:val="255"/>
        </w:trPr>
        <w:tc>
          <w:tcPr>
            <w:tcW w:w="1360" w:type="dxa"/>
            <w:noWrap/>
            <w:hideMark/>
          </w:tcPr>
          <w:p w:rsidR="00667044" w:rsidRPr="00667044" w:rsidRDefault="00667044"/>
        </w:tc>
        <w:tc>
          <w:tcPr>
            <w:tcW w:w="4292" w:type="dxa"/>
            <w:noWrap/>
            <w:hideMark/>
          </w:tcPr>
          <w:p w:rsidR="00667044" w:rsidRPr="00667044" w:rsidRDefault="00667044"/>
        </w:tc>
        <w:tc>
          <w:tcPr>
            <w:tcW w:w="1289" w:type="dxa"/>
            <w:noWrap/>
            <w:hideMark/>
          </w:tcPr>
          <w:p w:rsidR="00667044" w:rsidRPr="00667044" w:rsidRDefault="00667044"/>
        </w:tc>
      </w:tr>
      <w:tr w:rsidR="00667044" w:rsidRPr="00667044" w:rsidTr="00667044">
        <w:trPr>
          <w:trHeight w:val="255"/>
        </w:trPr>
        <w:tc>
          <w:tcPr>
            <w:tcW w:w="1360" w:type="dxa"/>
            <w:noWrap/>
            <w:hideMark/>
          </w:tcPr>
          <w:p w:rsidR="00667044" w:rsidRPr="00667044" w:rsidRDefault="00667044">
            <w:r w:rsidRPr="00667044">
              <w:t>KV</w:t>
            </w:r>
          </w:p>
        </w:tc>
        <w:tc>
          <w:tcPr>
            <w:tcW w:w="4292" w:type="dxa"/>
            <w:noWrap/>
            <w:hideMark/>
          </w:tcPr>
          <w:p w:rsidR="00667044" w:rsidRPr="00667044" w:rsidRDefault="00667044">
            <w:r w:rsidRPr="00667044">
              <w:t>Tatbestand</w:t>
            </w:r>
          </w:p>
        </w:tc>
        <w:tc>
          <w:tcPr>
            <w:tcW w:w="1289" w:type="dxa"/>
            <w:noWrap/>
            <w:hideMark/>
          </w:tcPr>
          <w:p w:rsidR="00667044" w:rsidRPr="00667044" w:rsidRDefault="00667044" w:rsidP="00667044">
            <w:pPr>
              <w:ind w:left="189" w:hanging="189"/>
            </w:pPr>
            <w:r w:rsidRPr="00667044">
              <w:t>Gebühr</w:t>
            </w:r>
            <w:r>
              <w:t xml:space="preserve"> in Euro</w:t>
            </w:r>
          </w:p>
        </w:tc>
      </w:tr>
      <w:tr w:rsidR="00667044" w:rsidRPr="00667044" w:rsidTr="00667044">
        <w:trPr>
          <w:trHeight w:val="1020"/>
        </w:trPr>
        <w:tc>
          <w:tcPr>
            <w:tcW w:w="1360" w:type="dxa"/>
            <w:hideMark/>
          </w:tcPr>
          <w:p w:rsidR="00667044" w:rsidRPr="00667044" w:rsidRDefault="00667044">
            <w:r w:rsidRPr="00667044">
              <w:t>2311</w:t>
            </w:r>
          </w:p>
        </w:tc>
        <w:tc>
          <w:tcPr>
            <w:tcW w:w="4292" w:type="dxa"/>
            <w:hideMark/>
          </w:tcPr>
          <w:p w:rsidR="00667044" w:rsidRPr="00667044" w:rsidRDefault="00667044">
            <w:r w:rsidRPr="00667044">
              <w:t xml:space="preserve">Verfahren über den Antrag eines Gläubigers auf Eröffnung des Insolvenzverfahrens 0,5 </w:t>
            </w:r>
            <w:proofErr w:type="spellStart"/>
            <w:r w:rsidRPr="00667044">
              <w:t>fach</w:t>
            </w:r>
            <w:proofErr w:type="spellEnd"/>
            <w:r w:rsidRPr="00667044">
              <w:t xml:space="preserve"> </w:t>
            </w:r>
            <w:proofErr w:type="spellStart"/>
            <w:r w:rsidRPr="00667044">
              <w:t>Mindestgebür</w:t>
            </w:r>
            <w:proofErr w:type="spellEnd"/>
          </w:p>
        </w:tc>
        <w:tc>
          <w:tcPr>
            <w:tcW w:w="1289" w:type="dxa"/>
            <w:noWrap/>
            <w:hideMark/>
          </w:tcPr>
          <w:p w:rsidR="00667044" w:rsidRPr="00667044" w:rsidRDefault="00667044" w:rsidP="00667044">
            <w:r w:rsidRPr="00667044">
              <w:t>198</w:t>
            </w:r>
          </w:p>
        </w:tc>
      </w:tr>
      <w:tr w:rsidR="00667044" w:rsidRPr="00667044" w:rsidTr="00667044">
        <w:trPr>
          <w:trHeight w:val="510"/>
        </w:trPr>
        <w:tc>
          <w:tcPr>
            <w:tcW w:w="1360" w:type="dxa"/>
            <w:hideMark/>
          </w:tcPr>
          <w:p w:rsidR="00667044" w:rsidRPr="00667044" w:rsidRDefault="00667044">
            <w:r w:rsidRPr="00667044">
              <w:t>2340</w:t>
            </w:r>
          </w:p>
        </w:tc>
        <w:tc>
          <w:tcPr>
            <w:tcW w:w="4292" w:type="dxa"/>
            <w:hideMark/>
          </w:tcPr>
          <w:p w:rsidR="00667044" w:rsidRPr="00667044" w:rsidRDefault="00667044">
            <w:r w:rsidRPr="00667044">
              <w:t>Prüfung von Forderungen je Gläubiger</w:t>
            </w:r>
          </w:p>
        </w:tc>
        <w:tc>
          <w:tcPr>
            <w:tcW w:w="1289" w:type="dxa"/>
            <w:noWrap/>
            <w:hideMark/>
          </w:tcPr>
          <w:p w:rsidR="00667044" w:rsidRPr="00667044" w:rsidRDefault="00667044" w:rsidP="00667044">
            <w:r w:rsidRPr="00667044">
              <w:t>22</w:t>
            </w:r>
          </w:p>
        </w:tc>
      </w:tr>
      <w:tr w:rsidR="00667044" w:rsidRPr="00667044" w:rsidTr="00667044">
        <w:trPr>
          <w:trHeight w:val="1275"/>
        </w:trPr>
        <w:tc>
          <w:tcPr>
            <w:tcW w:w="1360" w:type="dxa"/>
            <w:hideMark/>
          </w:tcPr>
          <w:p w:rsidR="00667044" w:rsidRPr="00667044" w:rsidRDefault="00667044">
            <w:r w:rsidRPr="00667044">
              <w:t>2350</w:t>
            </w:r>
          </w:p>
        </w:tc>
        <w:tc>
          <w:tcPr>
            <w:tcW w:w="4292" w:type="dxa"/>
            <w:hideMark/>
          </w:tcPr>
          <w:p w:rsidR="00667044" w:rsidRPr="00667044" w:rsidRDefault="00667044">
            <w:r w:rsidRPr="00667044">
              <w:t>Entscheidung über den Antrag auf Versagung oder Widerruf der Restschuldbefreiung (§§ 296 bis 297a, 300 und 303 InsO)</w:t>
            </w:r>
          </w:p>
        </w:tc>
        <w:tc>
          <w:tcPr>
            <w:tcW w:w="1289" w:type="dxa"/>
            <w:noWrap/>
            <w:hideMark/>
          </w:tcPr>
          <w:p w:rsidR="00667044" w:rsidRPr="00667044" w:rsidRDefault="00667044" w:rsidP="00667044">
            <w:r w:rsidRPr="00667044">
              <w:t>39</w:t>
            </w:r>
          </w:p>
        </w:tc>
      </w:tr>
      <w:tr w:rsidR="00667044" w:rsidRPr="00667044" w:rsidTr="00667044">
        <w:trPr>
          <w:trHeight w:val="1275"/>
        </w:trPr>
        <w:tc>
          <w:tcPr>
            <w:tcW w:w="1360" w:type="dxa"/>
            <w:hideMark/>
          </w:tcPr>
          <w:p w:rsidR="00667044" w:rsidRPr="00667044" w:rsidRDefault="00667044">
            <w:r w:rsidRPr="00667044">
              <w:t>2362</w:t>
            </w:r>
          </w:p>
        </w:tc>
        <w:tc>
          <w:tcPr>
            <w:tcW w:w="4292" w:type="dxa"/>
            <w:hideMark/>
          </w:tcPr>
          <w:p w:rsidR="00667044" w:rsidRPr="00667044" w:rsidRDefault="00667044">
            <w:r w:rsidRPr="00667044">
              <w:t>Verfahren über einen Antrag auf Eröffnung eines Gruppen-Koordinationsverfahrens nach Artikel 61 der Verordnung (EU) 2015/848</w:t>
            </w:r>
          </w:p>
        </w:tc>
        <w:tc>
          <w:tcPr>
            <w:tcW w:w="1289" w:type="dxa"/>
            <w:noWrap/>
            <w:hideMark/>
          </w:tcPr>
          <w:p w:rsidR="00667044" w:rsidRPr="00667044" w:rsidRDefault="00667044" w:rsidP="00667044">
            <w:r w:rsidRPr="00667044">
              <w:t>4400</w:t>
            </w:r>
          </w:p>
        </w:tc>
      </w:tr>
      <w:tr w:rsidR="00667044" w:rsidRPr="00667044" w:rsidTr="00667044">
        <w:trPr>
          <w:trHeight w:val="255"/>
        </w:trPr>
        <w:tc>
          <w:tcPr>
            <w:tcW w:w="1360" w:type="dxa"/>
            <w:hideMark/>
          </w:tcPr>
          <w:p w:rsidR="00667044" w:rsidRPr="00667044" w:rsidRDefault="00667044">
            <w:r w:rsidRPr="00667044">
              <w:t>2370</w:t>
            </w:r>
          </w:p>
        </w:tc>
        <w:tc>
          <w:tcPr>
            <w:tcW w:w="4292" w:type="dxa"/>
            <w:hideMark/>
          </w:tcPr>
          <w:p w:rsidR="00667044" w:rsidRPr="00667044" w:rsidRDefault="00667044">
            <w:r w:rsidRPr="00667044">
              <w:t>Verfahren im Allgemeinen</w:t>
            </w:r>
          </w:p>
        </w:tc>
        <w:tc>
          <w:tcPr>
            <w:tcW w:w="1289" w:type="dxa"/>
            <w:noWrap/>
            <w:hideMark/>
          </w:tcPr>
          <w:p w:rsidR="00667044" w:rsidRPr="00667044" w:rsidRDefault="00667044" w:rsidP="00667044">
            <w:r w:rsidRPr="00667044">
              <w:t>550</w:t>
            </w:r>
          </w:p>
        </w:tc>
      </w:tr>
      <w:tr w:rsidR="00667044" w:rsidRPr="00667044" w:rsidTr="00667044">
        <w:trPr>
          <w:trHeight w:val="1020"/>
        </w:trPr>
        <w:tc>
          <w:tcPr>
            <w:tcW w:w="1360" w:type="dxa"/>
            <w:hideMark/>
          </w:tcPr>
          <w:p w:rsidR="00667044" w:rsidRPr="00667044" w:rsidRDefault="00667044">
            <w:r w:rsidRPr="00667044">
              <w:lastRenderedPageBreak/>
              <w:t>2371</w:t>
            </w:r>
          </w:p>
        </w:tc>
        <w:tc>
          <w:tcPr>
            <w:tcW w:w="4292" w:type="dxa"/>
            <w:hideMark/>
          </w:tcPr>
          <w:p w:rsidR="00667044" w:rsidRPr="00667044" w:rsidRDefault="00667044">
            <w:r w:rsidRPr="00667044">
              <w:t>In dem Verfahren wird ein Koordinationsplan zur Bestätigung vorgelegt: die Gebühr beträgt</w:t>
            </w:r>
          </w:p>
        </w:tc>
        <w:tc>
          <w:tcPr>
            <w:tcW w:w="1289" w:type="dxa"/>
            <w:noWrap/>
            <w:hideMark/>
          </w:tcPr>
          <w:p w:rsidR="00667044" w:rsidRPr="00667044" w:rsidRDefault="00667044" w:rsidP="00667044">
            <w:r w:rsidRPr="00667044">
              <w:t>1100</w:t>
            </w:r>
          </w:p>
        </w:tc>
      </w:tr>
    </w:tbl>
    <w:p w:rsidR="00667044" w:rsidRDefault="00667044"/>
    <w:p w:rsidR="0045248E" w:rsidRDefault="0045248E">
      <w:r>
        <w:t>III. Änderung von Wertvorschriften</w:t>
      </w:r>
    </w:p>
    <w:p w:rsidR="0045248E" w:rsidRDefault="0045248E"/>
    <w:tbl>
      <w:tblPr>
        <w:tblStyle w:val="Tabellenraster"/>
        <w:tblW w:w="0" w:type="auto"/>
        <w:tblLook w:val="04A0" w:firstRow="1" w:lastRow="0" w:firstColumn="1" w:lastColumn="0" w:noHBand="0" w:noVBand="1"/>
      </w:tblPr>
      <w:tblGrid>
        <w:gridCol w:w="4744"/>
        <w:gridCol w:w="4744"/>
      </w:tblGrid>
      <w:tr w:rsidR="00872C22" w:rsidTr="00872C22">
        <w:tc>
          <w:tcPr>
            <w:tcW w:w="474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8"/>
            </w:tblGrid>
            <w:tr w:rsidR="00872C22" w:rsidRPr="00872C22" w:rsidTr="00872C22">
              <w:trPr>
                <w:tblCellSpacing w:w="15" w:type="dxa"/>
              </w:trPr>
              <w:tc>
                <w:tcPr>
                  <w:tcW w:w="0" w:type="auto"/>
                  <w:vAlign w:val="center"/>
                  <w:hideMark/>
                </w:tcPr>
                <w:p w:rsidR="00872C22" w:rsidRPr="00872C22" w:rsidRDefault="00872C22" w:rsidP="00872C2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72C22">
                    <w:rPr>
                      <w:rFonts w:ascii="Times New Roman" w:eastAsia="Times New Roman" w:hAnsi="Times New Roman" w:cs="Times New Roman"/>
                      <w:b/>
                      <w:bCs/>
                      <w:sz w:val="27"/>
                      <w:szCs w:val="27"/>
                      <w:lang w:eastAsia="de-DE"/>
                    </w:rPr>
                    <w:t xml:space="preserve">§ 58 Insolvenzverfahren </w:t>
                  </w:r>
                </w:p>
                <w:p w:rsidR="00872C22" w:rsidRPr="00872C22" w:rsidRDefault="00872C22" w:rsidP="00872C22">
                  <w:pPr>
                    <w:spacing w:after="0" w:line="240" w:lineRule="auto"/>
                    <w:rPr>
                      <w:rFonts w:ascii="Times New Roman" w:eastAsia="Times New Roman" w:hAnsi="Times New Roman" w:cs="Times New Roman"/>
                      <w:szCs w:val="24"/>
                      <w:lang w:eastAsia="de-DE"/>
                    </w:rPr>
                  </w:pPr>
                </w:p>
              </w:tc>
            </w:tr>
            <w:tr w:rsidR="00872C22" w:rsidRPr="00872C22" w:rsidTr="00872C22">
              <w:trPr>
                <w:tblCellSpacing w:w="15" w:type="dxa"/>
              </w:trPr>
              <w:tc>
                <w:tcPr>
                  <w:tcW w:w="0" w:type="auto"/>
                  <w:vAlign w:val="center"/>
                  <w:hideMark/>
                </w:tcPr>
                <w:p w:rsidR="00872C22" w:rsidRPr="00872C22" w:rsidRDefault="00872C22" w:rsidP="00872C22">
                  <w:pPr>
                    <w:spacing w:after="0" w:line="240" w:lineRule="auto"/>
                    <w:rPr>
                      <w:rFonts w:ascii="Times New Roman" w:eastAsia="Times New Roman" w:hAnsi="Times New Roman" w:cs="Times New Roman"/>
                      <w:szCs w:val="24"/>
                      <w:lang w:eastAsia="de-DE"/>
                    </w:rPr>
                  </w:pPr>
                  <w:r w:rsidRPr="00872C22">
                    <w:rPr>
                      <w:rFonts w:ascii="Times New Roman" w:eastAsia="Times New Roman" w:hAnsi="Times New Roman" w:cs="Times New Roman"/>
                      <w:szCs w:val="24"/>
                      <w:lang w:eastAsia="de-DE"/>
                    </w:rPr>
                    <w:t xml:space="preserve">(1) 1 Die Gebühren für den Antrag auf Eröffnung des Insolvenzverfahrens und für die Durchführung des Insolvenzverfahrens werden nach dem Wert der Insolvenzmasse zur Zeit der Beendigung des Verfahrens erhoben. 2 Gegenstände, die zur abgesonderten Befriedigung dienen, werden nur in Höhe des für diese nicht erforderlichen Betrags angesetzt. </w:t>
                  </w:r>
                </w:p>
              </w:tc>
            </w:tr>
          </w:tbl>
          <w:p w:rsidR="00872C22" w:rsidRDefault="00872C22"/>
        </w:tc>
        <w:tc>
          <w:tcPr>
            <w:tcW w:w="4744" w:type="dxa"/>
          </w:tcPr>
          <w:p w:rsidR="00872C22" w:rsidRDefault="00872C22" w:rsidP="00872C22">
            <w:pPr>
              <w:rPr>
                <w:rFonts w:ascii="Times New Roman" w:eastAsia="Times New Roman" w:hAnsi="Times New Roman" w:cs="Times New Roman"/>
                <w:szCs w:val="24"/>
                <w:lang w:eastAsia="de-DE"/>
              </w:rPr>
            </w:pPr>
          </w:p>
          <w:p w:rsidR="00872C22" w:rsidRDefault="00872C22" w:rsidP="00872C22">
            <w:pPr>
              <w:rPr>
                <w:rFonts w:ascii="Times New Roman" w:eastAsia="Times New Roman" w:hAnsi="Times New Roman" w:cs="Times New Roman"/>
                <w:szCs w:val="24"/>
                <w:lang w:eastAsia="de-DE"/>
              </w:rPr>
            </w:pPr>
          </w:p>
          <w:p w:rsidR="00872C22" w:rsidRDefault="00872C22" w:rsidP="00872C22">
            <w:pPr>
              <w:rPr>
                <w:rFonts w:ascii="Times New Roman" w:eastAsia="Times New Roman" w:hAnsi="Times New Roman" w:cs="Times New Roman"/>
                <w:szCs w:val="24"/>
                <w:lang w:eastAsia="de-DE"/>
              </w:rPr>
            </w:pPr>
          </w:p>
          <w:p w:rsidR="00872C22" w:rsidRDefault="00872C22" w:rsidP="00872C22">
            <w:pPr>
              <w:rPr>
                <w:rFonts w:ascii="Times New Roman" w:eastAsia="Times New Roman" w:hAnsi="Times New Roman" w:cs="Times New Roman"/>
                <w:szCs w:val="24"/>
                <w:lang w:eastAsia="de-DE"/>
              </w:rPr>
            </w:pPr>
          </w:p>
          <w:p w:rsidR="00872C22" w:rsidRPr="00872C22" w:rsidRDefault="00872C22" w:rsidP="00872C22">
            <w:pPr>
              <w:rPr>
                <w:rFonts w:ascii="Times New Roman" w:eastAsia="Times New Roman" w:hAnsi="Times New Roman" w:cs="Times New Roman"/>
                <w:color w:val="FF0000"/>
                <w:szCs w:val="24"/>
                <w:lang w:eastAsia="de-DE"/>
              </w:rPr>
            </w:pPr>
            <w:r w:rsidRPr="00872C22">
              <w:rPr>
                <w:rFonts w:ascii="Times New Roman" w:eastAsia="Times New Roman" w:hAnsi="Times New Roman" w:cs="Times New Roman"/>
                <w:szCs w:val="24"/>
                <w:lang w:eastAsia="de-DE"/>
              </w:rPr>
              <w:t xml:space="preserve">(1) 1Die Gebühren für den Antrag auf Eröffnung des Insolvenzverfahrens und für die Durchführung des Insolvenzverfahrens werden nach dem Wert der Insolvenzmasse zur Zeit der Beendigung des Verfahrens erhoben. 2Gegenstände, die zur abgesonderten Befriedigung dienen, werden nur in Höhe des für diese nicht erforderlichen Betrags angesetzt. </w:t>
            </w:r>
            <w:r w:rsidRPr="00872C22">
              <w:rPr>
                <w:rFonts w:ascii="Times New Roman" w:eastAsia="Times New Roman" w:hAnsi="Times New Roman" w:cs="Times New Roman"/>
                <w:color w:val="FF0000"/>
                <w:szCs w:val="24"/>
                <w:lang w:eastAsia="de-DE"/>
              </w:rPr>
              <w:t>3Wird das Unternehmen des Schuldners fortgeführt, so ist von den bei der Fortführung erzielten Einnahmen nur der Überschuss zu berücksichtigen, der sich nach Abzug der Ausgaben ergibt. 4Dies gilt auch, wenn nur Teile des Unternehmens fortgeführt werden.</w:t>
            </w:r>
          </w:p>
          <w:p w:rsidR="00872C22" w:rsidRDefault="00872C22"/>
        </w:tc>
      </w:tr>
    </w:tbl>
    <w:p w:rsidR="0045248E" w:rsidRDefault="0045248E"/>
    <w:p w:rsidR="00667044" w:rsidRPr="00CF1E2F" w:rsidRDefault="00667044">
      <w:pPr>
        <w:rPr>
          <w:b/>
        </w:rPr>
      </w:pPr>
      <w:r w:rsidRPr="00CF1E2F">
        <w:rPr>
          <w:b/>
        </w:rPr>
        <w:t>C. Änderungen durch die Einführung des Restrukturierungsverfahrens</w:t>
      </w:r>
    </w:p>
    <w:p w:rsidR="00667044" w:rsidRDefault="00667044">
      <w:r>
        <w:t>Diese werden vorliegend nicht wiedergegeben, das kommt noch „extra“.</w:t>
      </w:r>
    </w:p>
    <w:p w:rsidR="003C0D89" w:rsidRDefault="003C0D89"/>
    <w:p w:rsidR="00667044" w:rsidRPr="00CF1E2F" w:rsidRDefault="00667044">
      <w:pPr>
        <w:rPr>
          <w:b/>
        </w:rPr>
      </w:pPr>
      <w:r w:rsidRPr="00CF1E2F">
        <w:rPr>
          <w:b/>
        </w:rPr>
        <w:t>D. Übergangsregelungen zu den unter B dargestellten Änderungen</w:t>
      </w:r>
      <w:r w:rsidR="00B72BCD" w:rsidRPr="00CF1E2F">
        <w:rPr>
          <w:b/>
        </w:rPr>
        <w:t xml:space="preserve"> und Folgerungen hieraus</w:t>
      </w:r>
    </w:p>
    <w:p w:rsidR="00B72BCD" w:rsidRPr="00CF1E2F" w:rsidRDefault="00B72BCD">
      <w:pPr>
        <w:rPr>
          <w:u w:val="single"/>
        </w:rPr>
      </w:pPr>
      <w:r w:rsidRPr="00CF1E2F">
        <w:rPr>
          <w:u w:val="single"/>
        </w:rPr>
        <w:t>I. Allgemein</w:t>
      </w:r>
    </w:p>
    <w:p w:rsidR="00667044" w:rsidRDefault="00667044">
      <w:r>
        <w:t xml:space="preserve">Gem. </w:t>
      </w:r>
      <w:r w:rsidRPr="00667044">
        <w:t xml:space="preserve">Artikel 13 </w:t>
      </w:r>
      <w:r w:rsidR="00B72BCD">
        <w:t>treten die Änderungen</w:t>
      </w:r>
      <w:r w:rsidRPr="00667044">
        <w:t xml:space="preserve"> am 1. Januar 2021 in Kraft.</w:t>
      </w:r>
    </w:p>
    <w:p w:rsidR="00667044" w:rsidRDefault="00B72BCD">
      <w:r>
        <w:t>Im GKG haben wir glücklicherweise eine Anpassungsregelung bezüglich neuer Kostenrechtsänderungen:</w:t>
      </w:r>
    </w:p>
    <w:p w:rsidR="00B72BCD" w:rsidRDefault="00B72BCD">
      <w:r>
        <w:t>§ 71 Abs. 3 GKG:</w:t>
      </w:r>
    </w:p>
    <w:p w:rsidR="00B72BCD" w:rsidRDefault="00B72BCD">
      <w:r>
        <w:t>I</w:t>
      </w:r>
      <w:r w:rsidRPr="00B72BCD">
        <w:t>n Insolvenzverfahren, Verteilungsverfahren nach der Schifffahrtsrechtlichen Verteilungsordnung und Verfahren der Zwangsversteigerung und Zwangsverwaltung gilt das bisherige Recht für Kosten, die vor dem Inkrafttreten einer Gesetzesänderung fällig geworden sind.</w:t>
      </w:r>
    </w:p>
    <w:p w:rsidR="00B72BCD" w:rsidRPr="00CF1E2F" w:rsidRDefault="00B72BCD">
      <w:pPr>
        <w:rPr>
          <w:u w:val="single"/>
        </w:rPr>
      </w:pPr>
      <w:r w:rsidRPr="00CF1E2F">
        <w:rPr>
          <w:u w:val="single"/>
        </w:rPr>
        <w:lastRenderedPageBreak/>
        <w:t>II. Fälligkeit und Übergangsregelung</w:t>
      </w:r>
    </w:p>
    <w:p w:rsidR="00B72BCD" w:rsidRPr="00CF1E2F" w:rsidRDefault="00B72BCD">
      <w:pPr>
        <w:rPr>
          <w:u w:val="single"/>
        </w:rPr>
      </w:pPr>
      <w:r w:rsidRPr="00CF1E2F">
        <w:rPr>
          <w:u w:val="single"/>
        </w:rPr>
        <w:t>1. Begriffsklärung</w:t>
      </w:r>
    </w:p>
    <w:p w:rsidR="00B72BCD" w:rsidRDefault="00F51DB0">
      <w:r>
        <w:t>Es  immer  zwischen Antragsgebühren und Aktgebühren zu unterscheiden.</w:t>
      </w:r>
    </w:p>
    <w:p w:rsidR="00F51DB0" w:rsidRDefault="00F51DB0">
      <w:r>
        <w:t>Für die Fälligkeit der Antragsgebühren ist stets die Stellung des Antrags erforderlich.</w:t>
      </w:r>
    </w:p>
    <w:p w:rsidR="00F51DB0" w:rsidRDefault="00F51DB0">
      <w:r>
        <w:t>Für die Fälligkeit Aktgebühr ist stets die gerichtliche Entscheidung oder sonstige Handlung entscheidend</w:t>
      </w:r>
      <w:r>
        <w:rPr>
          <w:rStyle w:val="Funotenzeichen"/>
        </w:rPr>
        <w:footnoteReference w:id="1"/>
      </w:r>
      <w:r>
        <w:t>.</w:t>
      </w:r>
    </w:p>
    <w:p w:rsidR="00F51DB0" w:rsidRDefault="00F51DB0"/>
    <w:p w:rsidR="00F51DB0" w:rsidRDefault="00F51DB0"/>
    <w:p w:rsidR="00B72BCD" w:rsidRPr="00CF1E2F" w:rsidRDefault="00F51DB0">
      <w:pPr>
        <w:rPr>
          <w:u w:val="single"/>
        </w:rPr>
      </w:pPr>
      <w:r w:rsidRPr="00CF1E2F">
        <w:rPr>
          <w:u w:val="single"/>
        </w:rPr>
        <w:t>2</w:t>
      </w:r>
      <w:r w:rsidR="00B72BCD" w:rsidRPr="00CF1E2F">
        <w:rPr>
          <w:u w:val="single"/>
        </w:rPr>
        <w:t>. Gläubigerantrag</w:t>
      </w:r>
      <w:r w:rsidRPr="00CF1E2F">
        <w:rPr>
          <w:u w:val="single"/>
        </w:rPr>
        <w:t xml:space="preserve"> und Eröffnung</w:t>
      </w:r>
    </w:p>
    <w:p w:rsidR="00F51DB0" w:rsidRDefault="00F51DB0">
      <w:r>
        <w:t>Antrag vor dem 1.1.2021: altes Recht</w:t>
      </w:r>
    </w:p>
    <w:p w:rsidR="00F51DB0" w:rsidRDefault="00F51DB0">
      <w:r>
        <w:t>Antrag ab dem 1.1. 2021: neues Recht</w:t>
      </w:r>
    </w:p>
    <w:p w:rsidR="00F51DB0" w:rsidRDefault="00F51DB0">
      <w:r>
        <w:t>Eröffnung ab dem 1.1. 2021: neues Recht (bezüglich Verfahrensgebühr)</w:t>
      </w:r>
    </w:p>
    <w:p w:rsidR="00F51DB0" w:rsidRDefault="00F51DB0"/>
    <w:p w:rsidR="00B72BCD" w:rsidRPr="00CF1E2F" w:rsidRDefault="00F51DB0">
      <w:pPr>
        <w:rPr>
          <w:u w:val="single"/>
        </w:rPr>
      </w:pPr>
      <w:r w:rsidRPr="00CF1E2F">
        <w:rPr>
          <w:u w:val="single"/>
        </w:rPr>
        <w:t>3</w:t>
      </w:r>
      <w:r w:rsidR="00B72BCD" w:rsidRPr="00CF1E2F">
        <w:rPr>
          <w:u w:val="single"/>
        </w:rPr>
        <w:t>. Schuldnerantrag und Eröffnungsgebü</w:t>
      </w:r>
      <w:r w:rsidRPr="00CF1E2F">
        <w:rPr>
          <w:u w:val="single"/>
        </w:rPr>
        <w:t>hr</w:t>
      </w:r>
    </w:p>
    <w:p w:rsidR="00F51DB0" w:rsidRDefault="00F51DB0"/>
    <w:p w:rsidR="00F51DB0" w:rsidRDefault="00F51DB0" w:rsidP="00F51DB0">
      <w:r>
        <w:t>Antrag vor dem 1.1.2021: altes Recht</w:t>
      </w:r>
    </w:p>
    <w:p w:rsidR="00F51DB0" w:rsidRDefault="00F51DB0" w:rsidP="00F51DB0">
      <w:r>
        <w:t>Antrag ab dem 1.1. 2021: neues Recht</w:t>
      </w:r>
    </w:p>
    <w:p w:rsidR="00F51DB0" w:rsidRDefault="00F51DB0" w:rsidP="00F51DB0">
      <w:r>
        <w:t>Eröffnung ab dem 1.1. 2021: neues Recht (bezüglich Verfahrensgebühr)</w:t>
      </w:r>
    </w:p>
    <w:p w:rsidR="00F51DB0" w:rsidRDefault="00F51DB0"/>
    <w:p w:rsidR="00F51DB0" w:rsidRPr="00CF1E2F" w:rsidRDefault="00F51DB0">
      <w:pPr>
        <w:rPr>
          <w:u w:val="single"/>
        </w:rPr>
      </w:pPr>
      <w:r w:rsidRPr="00CF1E2F">
        <w:rPr>
          <w:u w:val="single"/>
        </w:rPr>
        <w:t>4. Forderungsprüfung  im  nachträglichen Prüfungstermin</w:t>
      </w:r>
    </w:p>
    <w:p w:rsidR="00F51DB0" w:rsidRDefault="00F51DB0">
      <w:r>
        <w:t>Vornahme der gerichtlichen Handlung = Beurkundung der Forderungsprüfung</w:t>
      </w:r>
    </w:p>
    <w:p w:rsidR="00F51DB0" w:rsidRDefault="00CF1E2F">
      <w:r>
        <w:t>=&gt;</w:t>
      </w:r>
      <w:r w:rsidR="00F51DB0">
        <w:t xml:space="preserve"> neues Recht</w:t>
      </w:r>
    </w:p>
    <w:p w:rsidR="00872C22" w:rsidRDefault="00872C22"/>
    <w:p w:rsidR="00F51DB0" w:rsidRPr="00242C21" w:rsidRDefault="00872C22">
      <w:pPr>
        <w:rPr>
          <w:u w:val="single"/>
        </w:rPr>
      </w:pPr>
      <w:r w:rsidRPr="00242C21">
        <w:rPr>
          <w:u w:val="single"/>
        </w:rPr>
        <w:t>5. geänderte Wertvorschrift bzgl. „Betriebsfortführung“</w:t>
      </w:r>
    </w:p>
    <w:p w:rsidR="00872C22" w:rsidRDefault="00872C22">
      <w:r>
        <w:t>Folge man strikt der Übergangsregelung, so ließe sich behaupten, die Änderung der Wertvorschrift sei nicht auf „Altfälle“ nicht anwenden.</w:t>
      </w:r>
    </w:p>
    <w:p w:rsidR="00872C22" w:rsidRDefault="00872C22">
      <w:r>
        <w:t>Diese Sicht ist m.E. zu eng. Auf noch nicht abgeschlossene Fälle des (</w:t>
      </w:r>
      <w:proofErr w:type="spellStart"/>
      <w:r>
        <w:t>entgültigen</w:t>
      </w:r>
      <w:proofErr w:type="spellEnd"/>
      <w:r>
        <w:t xml:space="preserve">) Kostenansatzes sollte die „neue Vorschrift“ bereits angewendet werden, zumal dies der geänderten Auffassung des Bezirksrevisors </w:t>
      </w:r>
      <w:r w:rsidR="00242C21">
        <w:t xml:space="preserve">und der überwiegenden Rechtsprechung der </w:t>
      </w:r>
      <w:proofErr w:type="spellStart"/>
      <w:r w:rsidR="00242C21">
        <w:t>OLG’e</w:t>
      </w:r>
      <w:proofErr w:type="spellEnd"/>
      <w:r w:rsidR="00242C21">
        <w:t xml:space="preserve"> </w:t>
      </w:r>
      <w:r>
        <w:t>entspricht.</w:t>
      </w:r>
    </w:p>
    <w:p w:rsidR="00F51DB0" w:rsidRPr="00CF1E2F" w:rsidRDefault="00CF1E2F">
      <w:pPr>
        <w:rPr>
          <w:b/>
        </w:rPr>
      </w:pPr>
      <w:r w:rsidRPr="00CF1E2F">
        <w:rPr>
          <w:b/>
        </w:rPr>
        <w:t>E. Handlungsempfehlung</w:t>
      </w:r>
    </w:p>
    <w:p w:rsidR="00CF1E2F" w:rsidRDefault="00CF1E2F">
      <w:r>
        <w:lastRenderedPageBreak/>
        <w:t xml:space="preserve">Ich weiß nicht, ob die Software eine Individualeingabe von Gebühren vorsieht, ich denke mal, im Rahmen des </w:t>
      </w:r>
      <w:proofErr w:type="spellStart"/>
      <w:r>
        <w:t>Talibanisierungssystems</w:t>
      </w:r>
      <w:proofErr w:type="spellEnd"/>
      <w:r>
        <w:t xml:space="preserve"> wohl eher nein</w:t>
      </w:r>
      <w:r w:rsidR="00872C22">
        <w:t>, aber hier lasse ich mich gerne zu aufklären</w:t>
      </w:r>
      <w:r>
        <w:t>.</w:t>
      </w:r>
    </w:p>
    <w:p w:rsidR="00CF1E2F" w:rsidRDefault="00CF1E2F">
      <w:r>
        <w:t xml:space="preserve">Bezüglich der Fremdantragsverfahren sollte die Erhebung der Antragsgebühr zunächst „geschoben“ werden, </w:t>
      </w:r>
      <w:proofErr w:type="spellStart"/>
      <w:r>
        <w:t>RechtspflegerInnen</w:t>
      </w:r>
      <w:proofErr w:type="spellEnd"/>
      <w:r>
        <w:t xml:space="preserve"> bitte mit im Focus halten, sofern Verfahren eröffnet wurde;  bei Nichteröffnung: Geschäftsstelle zunächst </w:t>
      </w:r>
      <w:proofErr w:type="spellStart"/>
      <w:r>
        <w:t>verfristen</w:t>
      </w:r>
      <w:proofErr w:type="spellEnd"/>
    </w:p>
    <w:p w:rsidR="00CF1E2F" w:rsidRDefault="00CF1E2F">
      <w:r>
        <w:t xml:space="preserve">Bezüglich der nachträglichen Prüfungstermine: Geschäftsstelle – </w:t>
      </w:r>
      <w:proofErr w:type="spellStart"/>
      <w:r>
        <w:t>UdG.zunächst</w:t>
      </w:r>
      <w:proofErr w:type="spellEnd"/>
      <w:r>
        <w:t xml:space="preserve"> </w:t>
      </w:r>
      <w:proofErr w:type="spellStart"/>
      <w:r>
        <w:t>verfristen</w:t>
      </w:r>
      <w:bookmarkStart w:id="0" w:name="_GoBack"/>
      <w:bookmarkEnd w:id="0"/>
      <w:proofErr w:type="spellEnd"/>
    </w:p>
    <w:sectPr w:rsidR="00CF1E2F" w:rsidSect="00667044">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F4" w:rsidRDefault="00F16DF4" w:rsidP="00F51DB0">
      <w:pPr>
        <w:spacing w:after="0" w:line="240" w:lineRule="auto"/>
      </w:pPr>
      <w:r>
        <w:separator/>
      </w:r>
    </w:p>
  </w:endnote>
  <w:endnote w:type="continuationSeparator" w:id="0">
    <w:p w:rsidR="00F16DF4" w:rsidRDefault="00F16DF4" w:rsidP="00F5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F4" w:rsidRDefault="00F16DF4" w:rsidP="00F51DB0">
      <w:pPr>
        <w:spacing w:after="0" w:line="240" w:lineRule="auto"/>
      </w:pPr>
      <w:r>
        <w:separator/>
      </w:r>
    </w:p>
  </w:footnote>
  <w:footnote w:type="continuationSeparator" w:id="0">
    <w:p w:rsidR="00F16DF4" w:rsidRDefault="00F16DF4" w:rsidP="00F51DB0">
      <w:pPr>
        <w:spacing w:after="0" w:line="240" w:lineRule="auto"/>
      </w:pPr>
      <w:r>
        <w:continuationSeparator/>
      </w:r>
    </w:p>
  </w:footnote>
  <w:footnote w:id="1">
    <w:p w:rsidR="00F51DB0" w:rsidRDefault="00F51DB0">
      <w:pPr>
        <w:pStyle w:val="Funotentext"/>
      </w:pPr>
      <w:r>
        <w:rPr>
          <w:rStyle w:val="Funotenzeichen"/>
        </w:rPr>
        <w:footnoteRef/>
      </w:r>
      <w:r>
        <w:t xml:space="preserve"> § 6 GKG.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1D"/>
    <w:rsid w:val="00013833"/>
    <w:rsid w:val="0005380A"/>
    <w:rsid w:val="002120F7"/>
    <w:rsid w:val="00242C21"/>
    <w:rsid w:val="00257BD9"/>
    <w:rsid w:val="0036161D"/>
    <w:rsid w:val="003C0D89"/>
    <w:rsid w:val="00451371"/>
    <w:rsid w:val="0045248E"/>
    <w:rsid w:val="00594EE7"/>
    <w:rsid w:val="00667044"/>
    <w:rsid w:val="007F74C7"/>
    <w:rsid w:val="00872C22"/>
    <w:rsid w:val="00885696"/>
    <w:rsid w:val="00902EA7"/>
    <w:rsid w:val="00B5045E"/>
    <w:rsid w:val="00B72BCD"/>
    <w:rsid w:val="00BD5A35"/>
    <w:rsid w:val="00C25206"/>
    <w:rsid w:val="00CF1E2F"/>
    <w:rsid w:val="00D6265E"/>
    <w:rsid w:val="00E715F4"/>
    <w:rsid w:val="00E82700"/>
    <w:rsid w:val="00EB4769"/>
    <w:rsid w:val="00ED3822"/>
    <w:rsid w:val="00F16DF4"/>
    <w:rsid w:val="00F51DB0"/>
    <w:rsid w:val="00F60618"/>
    <w:rsid w:val="00FD6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B0611-6167-41BE-9980-3A24AE03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5206"/>
    <w:rPr>
      <w:rFonts w:ascii="Arial" w:hAnsi="Arial"/>
      <w:sz w:val="24"/>
    </w:rPr>
  </w:style>
  <w:style w:type="paragraph" w:styleId="berschrift3">
    <w:name w:val="heading 3"/>
    <w:basedOn w:val="Standard"/>
    <w:link w:val="berschrift3Zchn"/>
    <w:uiPriority w:val="9"/>
    <w:qFormat/>
    <w:rsid w:val="00872C2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6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51D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1DB0"/>
    <w:rPr>
      <w:rFonts w:ascii="Arial" w:hAnsi="Arial"/>
      <w:sz w:val="20"/>
      <w:szCs w:val="20"/>
    </w:rPr>
  </w:style>
  <w:style w:type="character" w:styleId="Funotenzeichen">
    <w:name w:val="footnote reference"/>
    <w:basedOn w:val="Absatz-Standardschriftart"/>
    <w:uiPriority w:val="99"/>
    <w:semiHidden/>
    <w:unhideWhenUsed/>
    <w:rsid w:val="00F51DB0"/>
    <w:rPr>
      <w:vertAlign w:val="superscript"/>
    </w:rPr>
  </w:style>
  <w:style w:type="character" w:customStyle="1" w:styleId="berschrift3Zchn">
    <w:name w:val="Überschrift 3 Zchn"/>
    <w:basedOn w:val="Absatz-Standardschriftart"/>
    <w:link w:val="berschrift3"/>
    <w:uiPriority w:val="9"/>
    <w:rsid w:val="00872C22"/>
    <w:rPr>
      <w:rFonts w:ascii="Times New Roman" w:eastAsia="Times New Roman" w:hAnsi="Times New Roman" w:cs="Times New Roman"/>
      <w:b/>
      <w:bCs/>
      <w:sz w:val="27"/>
      <w:szCs w:val="27"/>
      <w:lang w:eastAsia="de-DE"/>
    </w:rPr>
  </w:style>
  <w:style w:type="character" w:customStyle="1" w:styleId="satz">
    <w:name w:val="satz"/>
    <w:basedOn w:val="Absatz-Standardschriftart"/>
    <w:rsid w:val="00872C22"/>
  </w:style>
  <w:style w:type="character" w:customStyle="1" w:styleId="highlight">
    <w:name w:val="highlight"/>
    <w:basedOn w:val="Absatz-Standardschriftart"/>
    <w:rsid w:val="0087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7385">
      <w:bodyDiv w:val="1"/>
      <w:marLeft w:val="0"/>
      <w:marRight w:val="0"/>
      <w:marTop w:val="0"/>
      <w:marBottom w:val="0"/>
      <w:divBdr>
        <w:top w:val="none" w:sz="0" w:space="0" w:color="auto"/>
        <w:left w:val="none" w:sz="0" w:space="0" w:color="auto"/>
        <w:bottom w:val="none" w:sz="0" w:space="0" w:color="auto"/>
        <w:right w:val="none" w:sz="0" w:space="0" w:color="auto"/>
      </w:divBdr>
    </w:div>
    <w:div w:id="145173968">
      <w:bodyDiv w:val="1"/>
      <w:marLeft w:val="0"/>
      <w:marRight w:val="0"/>
      <w:marTop w:val="0"/>
      <w:marBottom w:val="0"/>
      <w:divBdr>
        <w:top w:val="none" w:sz="0" w:space="0" w:color="auto"/>
        <w:left w:val="none" w:sz="0" w:space="0" w:color="auto"/>
        <w:bottom w:val="none" w:sz="0" w:space="0" w:color="auto"/>
        <w:right w:val="none" w:sz="0" w:space="0" w:color="auto"/>
      </w:divBdr>
      <w:divsChild>
        <w:div w:id="657347620">
          <w:marLeft w:val="0"/>
          <w:marRight w:val="0"/>
          <w:marTop w:val="0"/>
          <w:marBottom w:val="0"/>
          <w:divBdr>
            <w:top w:val="none" w:sz="0" w:space="0" w:color="auto"/>
            <w:left w:val="none" w:sz="0" w:space="0" w:color="auto"/>
            <w:bottom w:val="none" w:sz="0" w:space="0" w:color="auto"/>
            <w:right w:val="none" w:sz="0" w:space="0" w:color="auto"/>
          </w:divBdr>
        </w:div>
      </w:divsChild>
    </w:div>
    <w:div w:id="305209185">
      <w:bodyDiv w:val="1"/>
      <w:marLeft w:val="0"/>
      <w:marRight w:val="0"/>
      <w:marTop w:val="0"/>
      <w:marBottom w:val="0"/>
      <w:divBdr>
        <w:top w:val="none" w:sz="0" w:space="0" w:color="auto"/>
        <w:left w:val="none" w:sz="0" w:space="0" w:color="auto"/>
        <w:bottom w:val="none" w:sz="0" w:space="0" w:color="auto"/>
        <w:right w:val="none" w:sz="0" w:space="0" w:color="auto"/>
      </w:divBdr>
      <w:divsChild>
        <w:div w:id="525826273">
          <w:marLeft w:val="0"/>
          <w:marRight w:val="0"/>
          <w:marTop w:val="0"/>
          <w:marBottom w:val="0"/>
          <w:divBdr>
            <w:top w:val="none" w:sz="0" w:space="0" w:color="auto"/>
            <w:left w:val="none" w:sz="0" w:space="0" w:color="auto"/>
            <w:bottom w:val="none" w:sz="0" w:space="0" w:color="auto"/>
            <w:right w:val="none" w:sz="0" w:space="0" w:color="auto"/>
          </w:divBdr>
        </w:div>
        <w:div w:id="1757432818">
          <w:marLeft w:val="0"/>
          <w:marRight w:val="0"/>
          <w:marTop w:val="0"/>
          <w:marBottom w:val="0"/>
          <w:divBdr>
            <w:top w:val="none" w:sz="0" w:space="0" w:color="auto"/>
            <w:left w:val="none" w:sz="0" w:space="0" w:color="auto"/>
            <w:bottom w:val="none" w:sz="0" w:space="0" w:color="auto"/>
            <w:right w:val="none" w:sz="0" w:space="0" w:color="auto"/>
          </w:divBdr>
        </w:div>
      </w:divsChild>
    </w:div>
    <w:div w:id="947082005">
      <w:bodyDiv w:val="1"/>
      <w:marLeft w:val="0"/>
      <w:marRight w:val="0"/>
      <w:marTop w:val="0"/>
      <w:marBottom w:val="0"/>
      <w:divBdr>
        <w:top w:val="none" w:sz="0" w:space="0" w:color="auto"/>
        <w:left w:val="none" w:sz="0" w:space="0" w:color="auto"/>
        <w:bottom w:val="none" w:sz="0" w:space="0" w:color="auto"/>
        <w:right w:val="none" w:sz="0" w:space="0" w:color="auto"/>
      </w:divBdr>
      <w:divsChild>
        <w:div w:id="686295946">
          <w:marLeft w:val="0"/>
          <w:marRight w:val="0"/>
          <w:marTop w:val="0"/>
          <w:marBottom w:val="0"/>
          <w:divBdr>
            <w:top w:val="none" w:sz="0" w:space="0" w:color="auto"/>
            <w:left w:val="none" w:sz="0" w:space="0" w:color="auto"/>
            <w:bottom w:val="none" w:sz="0" w:space="0" w:color="auto"/>
            <w:right w:val="none" w:sz="0" w:space="0" w:color="auto"/>
          </w:divBdr>
        </w:div>
      </w:divsChild>
    </w:div>
    <w:div w:id="1271206216">
      <w:bodyDiv w:val="1"/>
      <w:marLeft w:val="0"/>
      <w:marRight w:val="0"/>
      <w:marTop w:val="0"/>
      <w:marBottom w:val="0"/>
      <w:divBdr>
        <w:top w:val="none" w:sz="0" w:space="0" w:color="auto"/>
        <w:left w:val="none" w:sz="0" w:space="0" w:color="auto"/>
        <w:bottom w:val="none" w:sz="0" w:space="0" w:color="auto"/>
        <w:right w:val="none" w:sz="0" w:space="0" w:color="auto"/>
      </w:divBdr>
    </w:div>
    <w:div w:id="1509559638">
      <w:bodyDiv w:val="1"/>
      <w:marLeft w:val="0"/>
      <w:marRight w:val="0"/>
      <w:marTop w:val="0"/>
      <w:marBottom w:val="0"/>
      <w:divBdr>
        <w:top w:val="none" w:sz="0" w:space="0" w:color="auto"/>
        <w:left w:val="none" w:sz="0" w:space="0" w:color="auto"/>
        <w:bottom w:val="none" w:sz="0" w:space="0" w:color="auto"/>
        <w:right w:val="none" w:sz="0" w:space="0" w:color="auto"/>
      </w:divBdr>
    </w:div>
    <w:div w:id="20292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E411-15B3-49D9-B41F-D179E318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5546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dada</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Erdmann</dc:creator>
  <cp:keywords/>
  <dc:description/>
  <cp:lastModifiedBy>Erdmann, Lutz</cp:lastModifiedBy>
  <cp:revision>10</cp:revision>
  <dcterms:created xsi:type="dcterms:W3CDTF">2020-12-30T19:19:00Z</dcterms:created>
  <dcterms:modified xsi:type="dcterms:W3CDTF">2021-01-07T10:06:00Z</dcterms:modified>
</cp:coreProperties>
</file>